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F209F4" w:rsidRDefault="000729FF">
      <w:pPr>
        <w:rPr>
          <w:rFonts w:cstheme="minorHAnsi"/>
          <w:b/>
          <w:sz w:val="28"/>
          <w:szCs w:val="28"/>
        </w:rPr>
      </w:pPr>
      <w:r w:rsidRPr="00F209F4">
        <w:rPr>
          <w:rFonts w:cstheme="minorHAnsi"/>
          <w:b/>
          <w:sz w:val="28"/>
          <w:szCs w:val="28"/>
        </w:rPr>
        <w:t>O</w:t>
      </w:r>
      <w:r w:rsidRPr="00F209F4">
        <w:rPr>
          <w:rFonts w:cstheme="minorHAnsi"/>
          <w:b/>
          <w:sz w:val="28"/>
          <w:szCs w:val="28"/>
        </w:rPr>
        <w:t xml:space="preserve"> problema da </w:t>
      </w:r>
      <w:proofErr w:type="spellStart"/>
      <w:r w:rsidRPr="00F209F4">
        <w:rPr>
          <w:rFonts w:cstheme="minorHAnsi"/>
          <w:b/>
          <w:sz w:val="28"/>
          <w:szCs w:val="28"/>
        </w:rPr>
        <w:t>Polimedicação</w:t>
      </w:r>
      <w:proofErr w:type="spellEnd"/>
      <w:r w:rsidRPr="00F209F4">
        <w:rPr>
          <w:rFonts w:cstheme="minorHAnsi"/>
          <w:b/>
          <w:sz w:val="28"/>
          <w:szCs w:val="28"/>
        </w:rPr>
        <w:t xml:space="preserve"> no idoso em Portugal</w:t>
      </w:r>
    </w:p>
    <w:p w:rsidR="000729FF" w:rsidRPr="00F209F4" w:rsidRDefault="000729FF" w:rsidP="000729FF">
      <w:pPr>
        <w:jc w:val="both"/>
        <w:rPr>
          <w:rFonts w:cstheme="minorHAnsi"/>
          <w:b/>
          <w:sz w:val="24"/>
          <w:szCs w:val="24"/>
        </w:rPr>
      </w:pPr>
    </w:p>
    <w:p w:rsidR="000729FF" w:rsidRPr="00F209F4" w:rsidRDefault="000729FF" w:rsidP="000729FF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F209F4">
        <w:rPr>
          <w:rFonts w:cstheme="minorHAnsi"/>
          <w:b/>
          <w:sz w:val="24"/>
          <w:szCs w:val="24"/>
        </w:rPr>
        <w:t xml:space="preserve">É urgente a criação de um plano para lidar com o problema da </w:t>
      </w:r>
      <w:proofErr w:type="spellStart"/>
      <w:r w:rsidRPr="00F209F4">
        <w:rPr>
          <w:rFonts w:cstheme="minorHAnsi"/>
          <w:b/>
          <w:sz w:val="24"/>
          <w:szCs w:val="24"/>
        </w:rPr>
        <w:t>Polimedicação</w:t>
      </w:r>
      <w:proofErr w:type="spellEnd"/>
      <w:r w:rsidRPr="00F209F4">
        <w:rPr>
          <w:rFonts w:cstheme="minorHAnsi"/>
          <w:b/>
          <w:sz w:val="24"/>
          <w:szCs w:val="24"/>
        </w:rPr>
        <w:t xml:space="preserve"> no idoso em Portugal, conclui estudo europeu</w:t>
      </w:r>
      <w:r w:rsidRPr="00F209F4">
        <w:rPr>
          <w:rFonts w:cstheme="minorHAnsi"/>
          <w:b/>
          <w:sz w:val="24"/>
          <w:szCs w:val="24"/>
        </w:rPr>
        <w:t>.</w:t>
      </w:r>
    </w:p>
    <w:p w:rsidR="000729FF" w:rsidRPr="00F209F4" w:rsidRDefault="000729FF">
      <w:pPr>
        <w:rPr>
          <w:rFonts w:cstheme="minorHAnsi"/>
          <w:sz w:val="24"/>
          <w:szCs w:val="24"/>
        </w:rPr>
      </w:pP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bookmarkStart w:id="0" w:name="_GoBack"/>
      <w:r w:rsidRPr="001618A1">
        <w:rPr>
          <w:rFonts w:cstheme="minorHAnsi"/>
          <w:sz w:val="24"/>
          <w:szCs w:val="24"/>
        </w:rPr>
        <w:t xml:space="preserve">Apesar de ser um grave problema nos idosos, Portugal não tem qualquer política para lidar com a </w:t>
      </w:r>
      <w:proofErr w:type="spellStart"/>
      <w:r w:rsidRPr="001618A1">
        <w:rPr>
          <w:rFonts w:cstheme="minorHAnsi"/>
          <w:sz w:val="24"/>
          <w:szCs w:val="24"/>
        </w:rPr>
        <w:t>polimedicação</w:t>
      </w:r>
      <w:proofErr w:type="spellEnd"/>
      <w:r w:rsidRPr="001618A1">
        <w:rPr>
          <w:rFonts w:cstheme="minorHAnsi"/>
          <w:sz w:val="24"/>
          <w:szCs w:val="24"/>
        </w:rPr>
        <w:t xml:space="preserve"> (polifarmácia, uso de múltiplos medicamentos) desadequada. É urgente a criação e implementação de um Plano Nacional de Revisão da </w:t>
      </w:r>
      <w:proofErr w:type="spellStart"/>
      <w:r w:rsidRPr="001618A1">
        <w:rPr>
          <w:rFonts w:cstheme="minorHAnsi"/>
          <w:sz w:val="24"/>
          <w:szCs w:val="24"/>
        </w:rPr>
        <w:t>Polimedicação</w:t>
      </w:r>
      <w:proofErr w:type="spellEnd"/>
      <w:r w:rsidRPr="001618A1">
        <w:rPr>
          <w:rFonts w:cstheme="minorHAnsi"/>
          <w:sz w:val="24"/>
          <w:szCs w:val="24"/>
        </w:rPr>
        <w:t xml:space="preserve"> na população mais velha, conclui o estudo europeu SIMPATHY, que envolveu uma equipa de investigadores das Faculdades de Farmácia e Medicina da Universidade de Coimbra (UC) e do consórcio </w:t>
      </w:r>
      <w:proofErr w:type="spellStart"/>
      <w:r w:rsidRPr="001618A1">
        <w:rPr>
          <w:rFonts w:cstheme="minorHAnsi"/>
          <w:sz w:val="24"/>
          <w:szCs w:val="24"/>
        </w:rPr>
        <w:t>Ageing@Coimbra</w:t>
      </w:r>
      <w:proofErr w:type="spellEnd"/>
      <w:r w:rsidRPr="001618A1">
        <w:rPr>
          <w:rFonts w:cstheme="minorHAnsi"/>
          <w:sz w:val="24"/>
          <w:szCs w:val="24"/>
        </w:rPr>
        <w:t xml:space="preserve"> - Região Europeia de Referência para o Envelhecimento Ativo e Saudável.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>Desenvolvido, ao longo dos últimos dois anos, por uma equipa multidisciplinar de 10 instituições da Alemanha, Espanha, Grécia, Itália, Polónia, Portugal, Reino Unido e Suécia, o SIMPATHY (</w:t>
      </w:r>
      <w:proofErr w:type="spellStart"/>
      <w:r w:rsidRPr="001618A1">
        <w:rPr>
          <w:rFonts w:cstheme="minorHAnsi"/>
          <w:sz w:val="24"/>
          <w:szCs w:val="24"/>
        </w:rPr>
        <w:t>Stimulating</w:t>
      </w:r>
      <w:proofErr w:type="spellEnd"/>
      <w:r w:rsidRPr="001618A1">
        <w:rPr>
          <w:rFonts w:cstheme="minorHAnsi"/>
          <w:sz w:val="24"/>
          <w:szCs w:val="24"/>
        </w:rPr>
        <w:t xml:space="preserve"> </w:t>
      </w:r>
      <w:proofErr w:type="spellStart"/>
      <w:r w:rsidRPr="001618A1">
        <w:rPr>
          <w:rFonts w:cstheme="minorHAnsi"/>
          <w:sz w:val="24"/>
          <w:szCs w:val="24"/>
        </w:rPr>
        <w:t>Innovation</w:t>
      </w:r>
      <w:proofErr w:type="spellEnd"/>
      <w:r w:rsidRPr="001618A1">
        <w:rPr>
          <w:rFonts w:cstheme="minorHAnsi"/>
          <w:sz w:val="24"/>
          <w:szCs w:val="24"/>
        </w:rPr>
        <w:t xml:space="preserve"> Management </w:t>
      </w:r>
      <w:proofErr w:type="spellStart"/>
      <w:r w:rsidRPr="001618A1">
        <w:rPr>
          <w:rFonts w:cstheme="minorHAnsi"/>
          <w:sz w:val="24"/>
          <w:szCs w:val="24"/>
        </w:rPr>
        <w:t>of</w:t>
      </w:r>
      <w:proofErr w:type="spellEnd"/>
      <w:r w:rsidRPr="001618A1">
        <w:rPr>
          <w:rFonts w:cstheme="minorHAnsi"/>
          <w:sz w:val="24"/>
          <w:szCs w:val="24"/>
        </w:rPr>
        <w:t xml:space="preserve"> </w:t>
      </w:r>
      <w:proofErr w:type="spellStart"/>
      <w:r w:rsidRPr="001618A1">
        <w:rPr>
          <w:rFonts w:cstheme="minorHAnsi"/>
          <w:sz w:val="24"/>
          <w:szCs w:val="24"/>
        </w:rPr>
        <w:t>Polypharmacy</w:t>
      </w:r>
      <w:proofErr w:type="spellEnd"/>
      <w:r w:rsidRPr="001618A1">
        <w:rPr>
          <w:rFonts w:cstheme="minorHAnsi"/>
          <w:sz w:val="24"/>
          <w:szCs w:val="24"/>
        </w:rPr>
        <w:t xml:space="preserve"> </w:t>
      </w:r>
      <w:proofErr w:type="spellStart"/>
      <w:r w:rsidRPr="001618A1">
        <w:rPr>
          <w:rFonts w:cstheme="minorHAnsi"/>
          <w:sz w:val="24"/>
          <w:szCs w:val="24"/>
        </w:rPr>
        <w:t>and</w:t>
      </w:r>
      <w:proofErr w:type="spellEnd"/>
      <w:r w:rsidRPr="001618A1">
        <w:rPr>
          <w:rFonts w:cstheme="minorHAnsi"/>
          <w:sz w:val="24"/>
          <w:szCs w:val="24"/>
        </w:rPr>
        <w:t xml:space="preserve"> </w:t>
      </w:r>
      <w:proofErr w:type="spellStart"/>
      <w:r w:rsidRPr="001618A1">
        <w:rPr>
          <w:rFonts w:cstheme="minorHAnsi"/>
          <w:sz w:val="24"/>
          <w:szCs w:val="24"/>
        </w:rPr>
        <w:t>Adherence</w:t>
      </w:r>
      <w:proofErr w:type="spellEnd"/>
      <w:r w:rsidRPr="001618A1">
        <w:rPr>
          <w:rFonts w:cstheme="minorHAnsi"/>
          <w:sz w:val="24"/>
          <w:szCs w:val="24"/>
        </w:rPr>
        <w:t xml:space="preserve"> in </w:t>
      </w:r>
      <w:proofErr w:type="spellStart"/>
      <w:r w:rsidRPr="001618A1">
        <w:rPr>
          <w:rFonts w:cstheme="minorHAnsi"/>
          <w:sz w:val="24"/>
          <w:szCs w:val="24"/>
        </w:rPr>
        <w:t>The</w:t>
      </w:r>
      <w:proofErr w:type="spellEnd"/>
      <w:r w:rsidRPr="001618A1">
        <w:rPr>
          <w:rFonts w:cstheme="minorHAnsi"/>
          <w:sz w:val="24"/>
          <w:szCs w:val="24"/>
        </w:rPr>
        <w:t xml:space="preserve"> </w:t>
      </w:r>
      <w:proofErr w:type="spellStart"/>
      <w:r w:rsidRPr="001618A1">
        <w:rPr>
          <w:rFonts w:cstheme="minorHAnsi"/>
          <w:sz w:val="24"/>
          <w:szCs w:val="24"/>
        </w:rPr>
        <w:t>Elderly</w:t>
      </w:r>
      <w:proofErr w:type="spellEnd"/>
      <w:r w:rsidRPr="001618A1">
        <w:rPr>
          <w:rFonts w:cstheme="minorHAnsi"/>
          <w:sz w:val="24"/>
          <w:szCs w:val="24"/>
        </w:rPr>
        <w:t>) foi coordenado pelo Governo da Escócia e obteve um financiamento de um milhão de euros da União Europeia (UE) através do 3º Programa Europeu de Saúde.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 xml:space="preserve">O estudo, que contou ainda com a colaboração da Universidade de Lisboa (UL), teve como objetivo estudar o impacto da </w:t>
      </w:r>
      <w:proofErr w:type="spellStart"/>
      <w:r w:rsidRPr="001618A1">
        <w:rPr>
          <w:rFonts w:cstheme="minorHAnsi"/>
          <w:sz w:val="24"/>
          <w:szCs w:val="24"/>
        </w:rPr>
        <w:t>polimedicação</w:t>
      </w:r>
      <w:proofErr w:type="spellEnd"/>
      <w:r w:rsidRPr="001618A1">
        <w:rPr>
          <w:rFonts w:cstheme="minorHAnsi"/>
          <w:sz w:val="24"/>
          <w:szCs w:val="24"/>
        </w:rPr>
        <w:t xml:space="preserve"> e da adesão à terapêutica na saúde da população mais idosa. 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 xml:space="preserve">A equipa, constituída por cerca de meia centena de especialistas e investigadores, efetuou o levantamento do “estado de arte” do problema e realizou vários estudos de caso nos países parceiros do projeto, concluindo que, no caso de Portugal, «não há qualquer política para lidar com este problema que já assume dimensões preocupantes e que se irá agravar nos próximos anos, considerando que, em 2060, Portugal será o país da União Europeia com o maior decréscimo de natalidade e maior aumento no número de idosos com doenças crónicas», alerta João Malva, coordenador da equipa portuguesa. 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lastRenderedPageBreak/>
        <w:t xml:space="preserve">Com «esta tensão demográfica», salienta o especialista da Faculdade de Medicina da UC, «é urgente encontrar soluções. Caso contrário, o impacto na sociedade e no Sistema Nacional de Saúde será crítico. Não podemos esquecer que as patologias crónicas associadas ao envelhecimento são múltiplas, potenciando a polifarmácia e aumentando o risco para os idosos. Além disso, acarretam elevados custos económicos e sofrimento às famílias». 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>O investigador nota que «cerca de 40% das pessoas que toma 5 ou mais medicamentos, não o faz de forma apropriada, e cerca de 50 % das hospitalizações que acontecem devido a medicação excessiva seriam evitáveis se existisse um plano de revisão da polifarmácia».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>Questionado sobre a existência de boas práticas no espaço europeu em relação a esta matéria, João Malva afirma que o «Reino Unido, em especial a Escócia e Irlanda do Norte, e a Suécia» são exemplos a seguir.</w:t>
      </w:r>
    </w:p>
    <w:p w:rsidR="00F209F4" w:rsidRPr="001618A1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1618A1">
        <w:rPr>
          <w:rFonts w:cstheme="minorHAnsi"/>
          <w:sz w:val="24"/>
          <w:szCs w:val="24"/>
        </w:rPr>
        <w:t xml:space="preserve">Deste estudo resultou, também, um Manual de Diagnóstico da Situação de </w:t>
      </w:r>
      <w:proofErr w:type="spellStart"/>
      <w:r w:rsidRPr="001618A1">
        <w:rPr>
          <w:rFonts w:cstheme="minorHAnsi"/>
          <w:sz w:val="24"/>
          <w:szCs w:val="24"/>
        </w:rPr>
        <w:t>Polimedicação</w:t>
      </w:r>
      <w:proofErr w:type="spellEnd"/>
      <w:r w:rsidRPr="001618A1">
        <w:rPr>
          <w:rFonts w:cstheme="minorHAnsi"/>
          <w:sz w:val="24"/>
          <w:szCs w:val="24"/>
        </w:rPr>
        <w:t xml:space="preserve"> no Idoso na Europa, onde são indicadas seis grandes recomendações para implementação de Programas de Revisão da Polifarmácia em todos os Estados-Membros da UE, entre as quais, o uso de abordagens multidisciplinares nos Sistemas Nacionais de Saúde, encarando o problema de forma holística; a promoção de uma cultura que valorize a segurança e a qualidade na prescrição de medicamentos; e a recolha de dados nacionais que auxiliem a tomada de decisão política.</w:t>
      </w:r>
    </w:p>
    <w:bookmarkEnd w:id="0"/>
    <w:p w:rsidR="00F209F4" w:rsidRPr="00F209F4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F209F4">
        <w:rPr>
          <w:rFonts w:cstheme="minorHAnsi"/>
          <w:sz w:val="24"/>
          <w:szCs w:val="24"/>
        </w:rPr>
        <w:t xml:space="preserve">O Manual, dirigido aos profissionais de saúde, especialmente médicos, enfermeiros e farmacêuticos, e aos decisores políticos, tem o editorial assinado pela Organização Mundial de Saúde (OMS), reconhecendo a importância deste trabalho, e está disponível gratuitamente na Página Web do projeto: </w:t>
      </w:r>
      <w:hyperlink r:id="rId4" w:tgtFrame="_blank" w:history="1">
        <w:r w:rsidRPr="00F209F4">
          <w:rPr>
            <w:rFonts w:cstheme="minorHAnsi"/>
            <w:color w:val="337AB7"/>
            <w:sz w:val="24"/>
            <w:szCs w:val="24"/>
          </w:rPr>
          <w:t>SIMPATHY.</w:t>
        </w:r>
      </w:hyperlink>
    </w:p>
    <w:p w:rsidR="00F209F4" w:rsidRPr="00F209F4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F209F4">
        <w:rPr>
          <w:rFonts w:cstheme="minorHAnsi"/>
          <w:sz w:val="24"/>
          <w:szCs w:val="24"/>
        </w:rPr>
        <w:t xml:space="preserve">Declarações do coordenador da equipa portuguesa, João Malva: </w:t>
      </w:r>
      <w:hyperlink r:id="rId5" w:history="1">
        <w:r w:rsidRPr="00F209F4">
          <w:rPr>
            <w:rStyle w:val="Hiperligao"/>
            <w:rFonts w:cstheme="minorHAnsi"/>
            <w:sz w:val="24"/>
            <w:szCs w:val="24"/>
          </w:rPr>
          <w:t>aqui.</w:t>
        </w:r>
      </w:hyperlink>
    </w:p>
    <w:p w:rsidR="00F209F4" w:rsidRPr="00F209F4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F209F4" w:rsidRPr="00F209F4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F209F4">
        <w:rPr>
          <w:rFonts w:cstheme="minorHAnsi"/>
          <w:sz w:val="24"/>
          <w:szCs w:val="24"/>
        </w:rPr>
        <w:t>Cristina Pinto</w:t>
      </w:r>
      <w:r w:rsidRPr="00F209F4">
        <w:rPr>
          <w:rFonts w:cstheme="minorHAnsi"/>
          <w:sz w:val="24"/>
          <w:szCs w:val="24"/>
        </w:rPr>
        <w:t xml:space="preserve"> (</w:t>
      </w:r>
      <w:r w:rsidRPr="00F209F4">
        <w:rPr>
          <w:rFonts w:cstheme="minorHAnsi"/>
          <w:sz w:val="24"/>
          <w:szCs w:val="24"/>
        </w:rPr>
        <w:t>Assessoria de Imprensa - Universidade de Coimbra</w:t>
      </w:r>
      <w:r w:rsidRPr="00F209F4">
        <w:rPr>
          <w:rFonts w:cstheme="minorHAnsi"/>
          <w:sz w:val="24"/>
          <w:szCs w:val="24"/>
        </w:rPr>
        <w:t>)</w:t>
      </w:r>
    </w:p>
    <w:p w:rsidR="00F209F4" w:rsidRPr="00F209F4" w:rsidRDefault="00F209F4" w:rsidP="00F209F4">
      <w:pPr>
        <w:spacing w:line="360" w:lineRule="auto"/>
        <w:jc w:val="both"/>
        <w:rPr>
          <w:rFonts w:cstheme="minorHAnsi"/>
          <w:sz w:val="24"/>
          <w:szCs w:val="24"/>
        </w:rPr>
      </w:pPr>
      <w:r w:rsidRPr="00F209F4">
        <w:rPr>
          <w:rFonts w:cstheme="minorHAnsi"/>
          <w:sz w:val="24"/>
          <w:szCs w:val="24"/>
        </w:rPr>
        <w:t>Ciência na Imprensa Regional – Ciência Viva</w:t>
      </w:r>
    </w:p>
    <w:sectPr w:rsidR="00F209F4" w:rsidRPr="00F20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54"/>
    <w:rsid w:val="000729FF"/>
    <w:rsid w:val="001618A1"/>
    <w:rsid w:val="002C2BE2"/>
    <w:rsid w:val="00485A54"/>
    <w:rsid w:val="009E70F8"/>
    <w:rsid w:val="00F2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A57C"/>
  <w15:chartTrackingRefBased/>
  <w15:docId w15:val="{83A28AA1-BC1E-4559-B928-D3451F51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209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_kAXfosj_ls" TargetMode="External"/><Relationship Id="rId4" Type="http://schemas.openxmlformats.org/officeDocument/2006/relationships/hyperlink" Target="http://www.simpathy.eu/sites/default/files/Managing_polypharmacy2030-web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2017-06-06T11:38:00Z</dcterms:created>
  <dcterms:modified xsi:type="dcterms:W3CDTF">2017-06-06T11:42:00Z</dcterms:modified>
</cp:coreProperties>
</file>