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B88" w:rsidRDefault="00677687" w:rsidP="00531B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guerra, a linguagem e a mulher</w:t>
      </w:r>
    </w:p>
    <w:p w:rsidR="00531B91" w:rsidRDefault="00531B91" w:rsidP="00531B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1B91" w:rsidRDefault="00531B91" w:rsidP="00531B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Será de facto a guerra, ainda e sempre, o paradigma absoluto</w:t>
      </w:r>
      <w:r w:rsidR="00B540AE">
        <w:rPr>
          <w:rFonts w:ascii="Times New Roman" w:hAnsi="Times New Roman" w:cs="Times New Roman"/>
          <w:sz w:val="24"/>
          <w:szCs w:val="24"/>
        </w:rPr>
        <w:t>, vertido com expressividade na linguagem</w:t>
      </w:r>
      <w:r w:rsidR="00B837EA">
        <w:rPr>
          <w:rFonts w:ascii="Times New Roman" w:hAnsi="Times New Roman" w:cs="Times New Roman"/>
          <w:sz w:val="24"/>
          <w:szCs w:val="24"/>
        </w:rPr>
        <w:t xml:space="preserve"> e submetendo a mulher</w:t>
      </w:r>
      <w:r w:rsidR="00B540AE">
        <w:rPr>
          <w:rFonts w:ascii="Times New Roman" w:hAnsi="Times New Roman" w:cs="Times New Roman"/>
          <w:sz w:val="24"/>
          <w:szCs w:val="24"/>
        </w:rPr>
        <w:t>?</w:t>
      </w:r>
    </w:p>
    <w:p w:rsidR="00677687" w:rsidRDefault="00677687" w:rsidP="00531B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4C68" w:rsidRDefault="00204C68" w:rsidP="00F751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Apresentam-se infinitamente tristes as notícias que vêm a lume dando conta dos abusos e violências a que são submetidas as mulheres sírias; </w:t>
      </w:r>
      <w:r w:rsidR="00886BDC">
        <w:rPr>
          <w:rFonts w:ascii="Times New Roman" w:hAnsi="Times New Roman" w:cs="Times New Roman"/>
          <w:sz w:val="24"/>
          <w:szCs w:val="24"/>
        </w:rPr>
        <w:t>ultrapassado o argumento de que tais abusos e violências são perpetrad</w:t>
      </w:r>
      <w:r w:rsidR="00B837EA">
        <w:rPr>
          <w:rFonts w:ascii="Times New Roman" w:hAnsi="Times New Roman" w:cs="Times New Roman"/>
          <w:sz w:val="24"/>
          <w:szCs w:val="24"/>
        </w:rPr>
        <w:t>a</w:t>
      </w:r>
      <w:r w:rsidR="00886BDC">
        <w:rPr>
          <w:rFonts w:ascii="Times New Roman" w:hAnsi="Times New Roman" w:cs="Times New Roman"/>
          <w:sz w:val="24"/>
          <w:szCs w:val="24"/>
        </w:rPr>
        <w:t>s por pessoas cruéis e sem escrúpulos, julgo que existe no tempo uma inscrição forte que explica</w:t>
      </w:r>
      <w:r w:rsidR="00C837BA">
        <w:rPr>
          <w:rFonts w:ascii="Times New Roman" w:hAnsi="Times New Roman" w:cs="Times New Roman"/>
          <w:sz w:val="24"/>
          <w:szCs w:val="24"/>
        </w:rPr>
        <w:t>, mas não justifica,</w:t>
      </w:r>
      <w:r w:rsidR="00886BDC">
        <w:rPr>
          <w:rFonts w:ascii="Times New Roman" w:hAnsi="Times New Roman" w:cs="Times New Roman"/>
          <w:sz w:val="24"/>
          <w:szCs w:val="24"/>
        </w:rPr>
        <w:t xml:space="preserve"> esta catástrofe.  </w:t>
      </w:r>
    </w:p>
    <w:p w:rsidR="00F94A4D" w:rsidRDefault="00944489" w:rsidP="00F751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folhearmos </w:t>
      </w:r>
      <w:r w:rsidRPr="00944489">
        <w:rPr>
          <w:rFonts w:ascii="Times New Roman" w:hAnsi="Times New Roman" w:cs="Times New Roman"/>
          <w:i/>
          <w:sz w:val="24"/>
          <w:szCs w:val="24"/>
        </w:rPr>
        <w:t>A Dominação Masculina</w:t>
      </w:r>
      <w:r>
        <w:rPr>
          <w:rFonts w:ascii="Times New Roman" w:hAnsi="Times New Roman" w:cs="Times New Roman"/>
          <w:sz w:val="24"/>
          <w:szCs w:val="24"/>
        </w:rPr>
        <w:t>, obra sintomática de Pierre Bourdieu, confronta</w:t>
      </w:r>
      <w:r w:rsidR="00F94A4D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 xml:space="preserve">-nos a dada altura </w:t>
      </w:r>
      <w:r w:rsidR="00F94A4D">
        <w:rPr>
          <w:rFonts w:ascii="Times New Roman" w:hAnsi="Times New Roman" w:cs="Times New Roman"/>
          <w:sz w:val="24"/>
          <w:szCs w:val="24"/>
        </w:rPr>
        <w:t xml:space="preserve">com </w:t>
      </w:r>
      <w:r>
        <w:rPr>
          <w:rFonts w:ascii="Times New Roman" w:hAnsi="Times New Roman" w:cs="Times New Roman"/>
          <w:sz w:val="24"/>
          <w:szCs w:val="24"/>
        </w:rPr>
        <w:t xml:space="preserve">uma asserção de </w:t>
      </w:r>
      <w:r w:rsidR="00C837BA">
        <w:rPr>
          <w:rFonts w:ascii="Times New Roman" w:hAnsi="Times New Roman" w:cs="Times New Roman"/>
          <w:sz w:val="24"/>
          <w:szCs w:val="24"/>
        </w:rPr>
        <w:t xml:space="preserve">Immanuel </w:t>
      </w:r>
      <w:r>
        <w:rPr>
          <w:rFonts w:ascii="Times New Roman" w:hAnsi="Times New Roman" w:cs="Times New Roman"/>
          <w:sz w:val="24"/>
          <w:szCs w:val="24"/>
        </w:rPr>
        <w:t xml:space="preserve">Kant: “As mulheres […] não podem defender pessoalmente os seus direitos e os seus assuntos civis, por não lhes caber fazer a guerra; só o podem fazer através de um </w:t>
      </w:r>
      <w:r w:rsidRPr="00371654">
        <w:rPr>
          <w:rFonts w:ascii="Times New Roman" w:hAnsi="Times New Roman" w:cs="Times New Roman"/>
          <w:i/>
          <w:sz w:val="24"/>
          <w:szCs w:val="24"/>
        </w:rPr>
        <w:t>representante</w:t>
      </w:r>
      <w:r>
        <w:rPr>
          <w:rFonts w:ascii="Times New Roman" w:hAnsi="Times New Roman" w:cs="Times New Roman"/>
          <w:sz w:val="24"/>
          <w:szCs w:val="24"/>
        </w:rPr>
        <w:t>.”</w:t>
      </w:r>
      <w:r w:rsidR="00F94A4D">
        <w:rPr>
          <w:rFonts w:ascii="Times New Roman" w:hAnsi="Times New Roman" w:cs="Times New Roman"/>
          <w:sz w:val="24"/>
          <w:szCs w:val="24"/>
        </w:rPr>
        <w:t xml:space="preserve"> Portanto, às mulheres não cabe falarem publicamente por si mesmas. Jean-Jacques Rousseau, ainda, é claro quando afirma: “Toda a educação das mulheres deve fazer-se em função do homem. Agradar-lhe, ser-lhe útil, fazer-se amar e honrar por ele, educá-lo em jovem, aconselhá-lo, consolá-lo, tornar-lhe a vida agradável e doce: aí estão os deveres das mulheres em todos os tempos e aquilo que se lhes deve ensinar desde a infância”, como relembra Michelle Perrot. É assim que pensa a maioria dos filósofos das Luzes. Na verdade, como reitera a</w:t>
      </w:r>
      <w:r w:rsidR="004E1FA5">
        <w:rPr>
          <w:rFonts w:ascii="Times New Roman" w:hAnsi="Times New Roman" w:cs="Times New Roman"/>
          <w:sz w:val="24"/>
          <w:szCs w:val="24"/>
        </w:rPr>
        <w:t>quela</w:t>
      </w:r>
      <w:r w:rsidR="00F94A4D">
        <w:rPr>
          <w:rFonts w:ascii="Times New Roman" w:hAnsi="Times New Roman" w:cs="Times New Roman"/>
          <w:sz w:val="24"/>
          <w:szCs w:val="24"/>
        </w:rPr>
        <w:t xml:space="preserve"> historiadora francesa, “é preciso dispensar às raparigas «luzes veladas», filtradas pela noção dos seus deveres.”</w:t>
      </w:r>
    </w:p>
    <w:p w:rsidR="00F94A4D" w:rsidRDefault="00F94A4D" w:rsidP="00F751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este, indubitavelmente, o cadinho onde efervesceu o conceito de cidadania e o que originou a linhagem </w:t>
      </w:r>
      <w:r w:rsidR="00F21F8C">
        <w:rPr>
          <w:rFonts w:ascii="Times New Roman" w:hAnsi="Times New Roman" w:cs="Times New Roman"/>
          <w:sz w:val="24"/>
          <w:szCs w:val="24"/>
        </w:rPr>
        <w:t>onde se inscreveriam as posteriores integrações. Ou seja, e é bom lembrar, o cidadão resultante da Revolução Francesa de 1789 era homem e de recursos consideráveis, fracturando assim</w:t>
      </w:r>
      <w:r w:rsidR="00886BDC">
        <w:rPr>
          <w:rFonts w:ascii="Times New Roman" w:hAnsi="Times New Roman" w:cs="Times New Roman"/>
          <w:sz w:val="24"/>
          <w:szCs w:val="24"/>
        </w:rPr>
        <w:t xml:space="preserve"> simbolicamente</w:t>
      </w:r>
      <w:r w:rsidR="00F21F8C">
        <w:rPr>
          <w:rFonts w:ascii="Times New Roman" w:hAnsi="Times New Roman" w:cs="Times New Roman"/>
          <w:sz w:val="24"/>
          <w:szCs w:val="24"/>
        </w:rPr>
        <w:t>, e logo à partida, a sociedade. Pois se o social resulta da diferença sexual, e se seguirmos a firme consideração d</w:t>
      </w:r>
      <w:r w:rsidR="004E1FA5">
        <w:rPr>
          <w:rFonts w:ascii="Times New Roman" w:hAnsi="Times New Roman" w:cs="Times New Roman"/>
          <w:sz w:val="24"/>
          <w:szCs w:val="24"/>
        </w:rPr>
        <w:t>o filósofo</w:t>
      </w:r>
      <w:r w:rsidR="00F21F8C">
        <w:rPr>
          <w:rFonts w:ascii="Times New Roman" w:hAnsi="Times New Roman" w:cs="Times New Roman"/>
          <w:sz w:val="24"/>
          <w:szCs w:val="24"/>
        </w:rPr>
        <w:t xml:space="preserve"> Emmanuel Levinas, o par homem/mulher </w:t>
      </w:r>
      <w:r w:rsidR="004E1FA5">
        <w:rPr>
          <w:rFonts w:ascii="Times New Roman" w:hAnsi="Times New Roman" w:cs="Times New Roman"/>
          <w:sz w:val="24"/>
          <w:szCs w:val="24"/>
        </w:rPr>
        <w:t>é</w:t>
      </w:r>
      <w:r w:rsidR="00F21F8C">
        <w:rPr>
          <w:rFonts w:ascii="Times New Roman" w:hAnsi="Times New Roman" w:cs="Times New Roman"/>
          <w:sz w:val="24"/>
          <w:szCs w:val="24"/>
        </w:rPr>
        <w:t xml:space="preserve"> então o fertilizador incontestável.</w:t>
      </w:r>
      <w:r w:rsidR="000B1EE0">
        <w:rPr>
          <w:rFonts w:ascii="Times New Roman" w:hAnsi="Times New Roman" w:cs="Times New Roman"/>
          <w:sz w:val="24"/>
          <w:szCs w:val="24"/>
        </w:rPr>
        <w:t xml:space="preserve"> Neste entorno, a apropriação masculina do </w:t>
      </w:r>
      <w:r w:rsidR="00FA388E">
        <w:rPr>
          <w:rFonts w:ascii="Times New Roman" w:hAnsi="Times New Roman" w:cs="Times New Roman"/>
          <w:sz w:val="24"/>
          <w:szCs w:val="24"/>
        </w:rPr>
        <w:t>“</w:t>
      </w:r>
      <w:r w:rsidR="000B1EE0">
        <w:rPr>
          <w:rFonts w:ascii="Times New Roman" w:hAnsi="Times New Roman" w:cs="Times New Roman"/>
          <w:sz w:val="24"/>
          <w:szCs w:val="24"/>
        </w:rPr>
        <w:t>sujeito</w:t>
      </w:r>
      <w:r w:rsidR="00FA388E">
        <w:rPr>
          <w:rFonts w:ascii="Times New Roman" w:hAnsi="Times New Roman" w:cs="Times New Roman"/>
          <w:sz w:val="24"/>
          <w:szCs w:val="24"/>
        </w:rPr>
        <w:t>”</w:t>
      </w:r>
      <w:r w:rsidR="000B1EE0">
        <w:rPr>
          <w:rFonts w:ascii="Times New Roman" w:hAnsi="Times New Roman" w:cs="Times New Roman"/>
          <w:sz w:val="24"/>
          <w:szCs w:val="24"/>
        </w:rPr>
        <w:t xml:space="preserve"> sempre foi uma realidade histórica, como o evidencia </w:t>
      </w:r>
      <w:r w:rsidR="004E1FA5">
        <w:rPr>
          <w:rFonts w:ascii="Times New Roman" w:hAnsi="Times New Roman" w:cs="Times New Roman"/>
          <w:sz w:val="24"/>
          <w:szCs w:val="24"/>
        </w:rPr>
        <w:t xml:space="preserve">a pensadora </w:t>
      </w:r>
      <w:r w:rsidR="000B1EE0">
        <w:rPr>
          <w:rFonts w:ascii="Times New Roman" w:hAnsi="Times New Roman" w:cs="Times New Roman"/>
          <w:sz w:val="24"/>
          <w:szCs w:val="24"/>
        </w:rPr>
        <w:t>Luce Irigaray</w:t>
      </w:r>
      <w:r w:rsidR="00C92514">
        <w:rPr>
          <w:rFonts w:ascii="Times New Roman" w:hAnsi="Times New Roman" w:cs="Times New Roman"/>
          <w:sz w:val="24"/>
          <w:szCs w:val="24"/>
        </w:rPr>
        <w:t xml:space="preserve">, e nos esclarece Kant. Portanto, fica aqui relativamente clara a forma como a/s mulher/es se entrincheiram no corpo e, como se tal não bastasse, </w:t>
      </w:r>
      <w:r w:rsidR="004629A8">
        <w:rPr>
          <w:rFonts w:ascii="Times New Roman" w:hAnsi="Times New Roman" w:cs="Times New Roman"/>
          <w:sz w:val="24"/>
          <w:szCs w:val="24"/>
        </w:rPr>
        <w:t xml:space="preserve">um corpo sem ressonância, isto se </w:t>
      </w:r>
      <w:r w:rsidR="00B837EA">
        <w:rPr>
          <w:rFonts w:ascii="Times New Roman" w:hAnsi="Times New Roman" w:cs="Times New Roman"/>
          <w:sz w:val="24"/>
          <w:szCs w:val="24"/>
        </w:rPr>
        <w:t xml:space="preserve">atribuirmos seriedade às </w:t>
      </w:r>
      <w:r w:rsidR="004629A8">
        <w:rPr>
          <w:rFonts w:ascii="Times New Roman" w:hAnsi="Times New Roman" w:cs="Times New Roman"/>
          <w:sz w:val="24"/>
          <w:szCs w:val="24"/>
        </w:rPr>
        <w:t>palavras de</w:t>
      </w:r>
      <w:r w:rsidR="00C92514">
        <w:rPr>
          <w:rFonts w:ascii="Times New Roman" w:hAnsi="Times New Roman" w:cs="Times New Roman"/>
          <w:sz w:val="24"/>
          <w:szCs w:val="24"/>
        </w:rPr>
        <w:t xml:space="preserve"> Gustave Flaubert em </w:t>
      </w:r>
      <w:r w:rsidR="00C92514" w:rsidRPr="00057B27">
        <w:rPr>
          <w:rFonts w:ascii="Times New Roman" w:hAnsi="Times New Roman" w:cs="Times New Roman"/>
          <w:i/>
          <w:sz w:val="24"/>
          <w:szCs w:val="24"/>
        </w:rPr>
        <w:t>A Educação Sentimental</w:t>
      </w:r>
      <w:r w:rsidR="00C92514">
        <w:rPr>
          <w:rFonts w:ascii="Times New Roman" w:hAnsi="Times New Roman" w:cs="Times New Roman"/>
          <w:sz w:val="24"/>
          <w:szCs w:val="24"/>
        </w:rPr>
        <w:t xml:space="preserve">: “Os corações das mulheres são como os pequenos móveis de segredo, cheios de gavetas metidas umas nas outras; dão-nos </w:t>
      </w:r>
      <w:r w:rsidR="00C92514">
        <w:rPr>
          <w:rFonts w:ascii="Times New Roman" w:hAnsi="Times New Roman" w:cs="Times New Roman"/>
          <w:sz w:val="24"/>
          <w:szCs w:val="24"/>
        </w:rPr>
        <w:lastRenderedPageBreak/>
        <w:t>trabalho, fazem-nos partir as unhas e no final encontramos lá no fundo algumas flores secas, grãos de poeira ou o vazio.”</w:t>
      </w:r>
    </w:p>
    <w:p w:rsidR="00CB28A3" w:rsidRDefault="00CB28A3" w:rsidP="00F751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Daqui até à linguagem foi um passo muito rápido: “estão abertas as hostilidades”, “plano de combate contra”, “reunir armas”, “enfrentar a batalha”, “luta”, “tropas”, “exército”, são algumas das metáforas enraizadas no discurso dos dias e que criam </w:t>
      </w:r>
      <w:r w:rsidR="00CB4B74">
        <w:rPr>
          <w:rFonts w:ascii="Times New Roman" w:hAnsi="Times New Roman" w:cs="Times New Roman"/>
          <w:sz w:val="24"/>
          <w:szCs w:val="24"/>
        </w:rPr>
        <w:t>agora novas trincheiras, tanto voláteis, como dando conta das partes de um conflito interno ao próprio sujeito. Convém não esquecer nunca o que está na génese de um sistema democrático: o conflito</w:t>
      </w:r>
      <w:r w:rsidR="00867AC8">
        <w:rPr>
          <w:rFonts w:ascii="Times New Roman" w:hAnsi="Times New Roman" w:cs="Times New Roman"/>
          <w:sz w:val="24"/>
          <w:szCs w:val="24"/>
        </w:rPr>
        <w:t xml:space="preserve">. Mas este não é armado: é alado; e deverá ser alado precisamente pela palavra. Por tal não entendo que devamos falar de anjos, de nuvens, de céus, de voos, de anunciações, de ascensões, ou outras coisas que tais; mas sim que o diálogo e o confronto pressupostos no conflito democrático devem encontrar a respiração certa. Uma arma tem o intuito intrínseco de ferir; associada à guerra </w:t>
      </w:r>
      <w:r w:rsidR="00F905A5">
        <w:rPr>
          <w:rFonts w:ascii="Times New Roman" w:hAnsi="Times New Roman" w:cs="Times New Roman"/>
          <w:sz w:val="24"/>
          <w:szCs w:val="24"/>
        </w:rPr>
        <w:t>pressupõe</w:t>
      </w:r>
      <w:r w:rsidR="00867AC8">
        <w:rPr>
          <w:rFonts w:ascii="Times New Roman" w:hAnsi="Times New Roman" w:cs="Times New Roman"/>
          <w:sz w:val="24"/>
          <w:szCs w:val="24"/>
        </w:rPr>
        <w:t xml:space="preserve"> adversário</w:t>
      </w:r>
      <w:r w:rsidR="00F905A5">
        <w:rPr>
          <w:rFonts w:ascii="Times New Roman" w:hAnsi="Times New Roman" w:cs="Times New Roman"/>
          <w:sz w:val="24"/>
          <w:szCs w:val="24"/>
        </w:rPr>
        <w:t>s</w:t>
      </w:r>
      <w:r w:rsidR="00867AC8">
        <w:rPr>
          <w:rFonts w:ascii="Times New Roman" w:hAnsi="Times New Roman" w:cs="Times New Roman"/>
          <w:sz w:val="24"/>
          <w:szCs w:val="24"/>
        </w:rPr>
        <w:t xml:space="preserve">, </w:t>
      </w:r>
      <w:r w:rsidR="00F905A5">
        <w:rPr>
          <w:rFonts w:ascii="Times New Roman" w:hAnsi="Times New Roman" w:cs="Times New Roman"/>
          <w:sz w:val="24"/>
          <w:szCs w:val="24"/>
        </w:rPr>
        <w:t xml:space="preserve">os quais </w:t>
      </w:r>
      <w:r w:rsidR="00867AC8">
        <w:rPr>
          <w:rFonts w:ascii="Times New Roman" w:hAnsi="Times New Roman" w:cs="Times New Roman"/>
          <w:sz w:val="24"/>
          <w:szCs w:val="24"/>
        </w:rPr>
        <w:t xml:space="preserve">interessa </w:t>
      </w:r>
      <w:r w:rsidR="00F905A5">
        <w:rPr>
          <w:rFonts w:ascii="Times New Roman" w:hAnsi="Times New Roman" w:cs="Times New Roman"/>
          <w:sz w:val="24"/>
          <w:szCs w:val="24"/>
        </w:rPr>
        <w:t>superar, derrotando. Ora, eu não sou livre aniquilando a expressão do meu/da minha interlocutor/a, mas sim contrastando a argumentação mútua</w:t>
      </w:r>
      <w:r w:rsidR="00FA388E">
        <w:rPr>
          <w:rFonts w:ascii="Times New Roman" w:hAnsi="Times New Roman" w:cs="Times New Roman"/>
          <w:sz w:val="24"/>
          <w:szCs w:val="24"/>
        </w:rPr>
        <w:t>, ainda que ele/ela possam contrariar-me, e vice-versa. O sistema democrático é aberto.</w:t>
      </w:r>
    </w:p>
    <w:p w:rsidR="00FA388E" w:rsidRDefault="00FA388E" w:rsidP="00F751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Todavia, uma guerra suspende violentamente as asas da palavra, exactamente na mesma medida em que faz ascender a</w:t>
      </w:r>
      <w:r w:rsidR="00886BDC">
        <w:rPr>
          <w:rFonts w:ascii="Times New Roman" w:hAnsi="Times New Roman" w:cs="Times New Roman"/>
          <w:sz w:val="24"/>
          <w:szCs w:val="24"/>
        </w:rPr>
        <w:t xml:space="preserve"> potencial</w:t>
      </w:r>
      <w:r>
        <w:rPr>
          <w:rFonts w:ascii="Times New Roman" w:hAnsi="Times New Roman" w:cs="Times New Roman"/>
          <w:sz w:val="24"/>
          <w:szCs w:val="24"/>
        </w:rPr>
        <w:t xml:space="preserve"> tirania </w:t>
      </w:r>
      <w:r w:rsidR="00A16A31">
        <w:rPr>
          <w:rFonts w:ascii="Times New Roman" w:hAnsi="Times New Roman" w:cs="Times New Roman"/>
          <w:sz w:val="24"/>
          <w:szCs w:val="24"/>
        </w:rPr>
        <w:t xml:space="preserve">do mutismo </w:t>
      </w:r>
      <w:r>
        <w:rPr>
          <w:rFonts w:ascii="Times New Roman" w:hAnsi="Times New Roman" w:cs="Times New Roman"/>
          <w:sz w:val="24"/>
          <w:szCs w:val="24"/>
        </w:rPr>
        <w:t xml:space="preserve">do corpo. Walter Benjamin considerava que nenhum homem regressava das trincheiras da Grande Guerra rico em experiência, mas sim mudo e perplexo, devastado; extrapolando, nenhuma mulher que seja </w:t>
      </w:r>
      <w:r w:rsidR="00204C68">
        <w:rPr>
          <w:rFonts w:ascii="Times New Roman" w:hAnsi="Times New Roman" w:cs="Times New Roman"/>
          <w:sz w:val="24"/>
          <w:szCs w:val="24"/>
        </w:rPr>
        <w:t xml:space="preserve">restringida ao corpo pode alcançar a sua subjectividade, e também nenhum homem ou mulher que se fechem na “retórica da guerra” podem reinventar a realidade. A realidade aguarda a decantação através de um enquadramento, que é sempre ponto de vista e reclama uma atitude consciente. </w:t>
      </w:r>
    </w:p>
    <w:p w:rsidR="001A0BAF" w:rsidRDefault="001A0BAF" w:rsidP="00F75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BAF" w:rsidRDefault="001A0BAF" w:rsidP="00F751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Cláudia Ferreira</w:t>
      </w:r>
      <w:r w:rsidR="00F751CB">
        <w:rPr>
          <w:rFonts w:ascii="Times New Roman" w:hAnsi="Times New Roman" w:cs="Times New Roman"/>
          <w:sz w:val="24"/>
          <w:szCs w:val="24"/>
        </w:rPr>
        <w:t xml:space="preserve"> (Historiadora)</w:t>
      </w:r>
      <w:bookmarkStart w:id="0" w:name="_GoBack"/>
      <w:bookmarkEnd w:id="0"/>
    </w:p>
    <w:p w:rsidR="00CB28A3" w:rsidRDefault="00F751CB" w:rsidP="00F75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Ciência na Imprensa Regional – Ciência Viva</w:t>
      </w:r>
    </w:p>
    <w:p w:rsidR="00F94A4D" w:rsidRDefault="00F94A4D" w:rsidP="00F75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B91" w:rsidRDefault="00531B91" w:rsidP="00F75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B91" w:rsidRPr="00531B91" w:rsidRDefault="00531B91" w:rsidP="00F75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1B91" w:rsidRPr="00531B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934" w:rsidRDefault="007C7934" w:rsidP="00F94A4D">
      <w:pPr>
        <w:spacing w:after="0" w:line="240" w:lineRule="auto"/>
      </w:pPr>
      <w:r>
        <w:separator/>
      </w:r>
    </w:p>
  </w:endnote>
  <w:endnote w:type="continuationSeparator" w:id="0">
    <w:p w:rsidR="007C7934" w:rsidRDefault="007C7934" w:rsidP="00F9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934" w:rsidRDefault="007C7934" w:rsidP="00F94A4D">
      <w:pPr>
        <w:spacing w:after="0" w:line="240" w:lineRule="auto"/>
      </w:pPr>
      <w:r>
        <w:separator/>
      </w:r>
    </w:p>
  </w:footnote>
  <w:footnote w:type="continuationSeparator" w:id="0">
    <w:p w:rsidR="007C7934" w:rsidRDefault="007C7934" w:rsidP="00F94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91"/>
    <w:rsid w:val="000B1EE0"/>
    <w:rsid w:val="001A0BAF"/>
    <w:rsid w:val="00204C68"/>
    <w:rsid w:val="004629A8"/>
    <w:rsid w:val="00490CEA"/>
    <w:rsid w:val="004E1FA5"/>
    <w:rsid w:val="00531B91"/>
    <w:rsid w:val="00573B88"/>
    <w:rsid w:val="0065193B"/>
    <w:rsid w:val="00677687"/>
    <w:rsid w:val="007C7934"/>
    <w:rsid w:val="008003B0"/>
    <w:rsid w:val="00867AC8"/>
    <w:rsid w:val="00886BDC"/>
    <w:rsid w:val="00887F38"/>
    <w:rsid w:val="00944489"/>
    <w:rsid w:val="009E7BC2"/>
    <w:rsid w:val="00A16A31"/>
    <w:rsid w:val="00A17426"/>
    <w:rsid w:val="00B163DE"/>
    <w:rsid w:val="00B540AE"/>
    <w:rsid w:val="00B837EA"/>
    <w:rsid w:val="00C12048"/>
    <w:rsid w:val="00C837BA"/>
    <w:rsid w:val="00C92514"/>
    <w:rsid w:val="00CB28A3"/>
    <w:rsid w:val="00CB4B74"/>
    <w:rsid w:val="00D62990"/>
    <w:rsid w:val="00D6693A"/>
    <w:rsid w:val="00DD6DFA"/>
    <w:rsid w:val="00E87D65"/>
    <w:rsid w:val="00F21F8C"/>
    <w:rsid w:val="00F751CB"/>
    <w:rsid w:val="00F905A5"/>
    <w:rsid w:val="00F94A4D"/>
    <w:rsid w:val="00FA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13EA"/>
  <w15:chartTrackingRefBased/>
  <w15:docId w15:val="{5DC61434-F522-44D0-B6DE-7D15F123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94A4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94A4D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94A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689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Ferreira</dc:creator>
  <cp:keywords/>
  <dc:description/>
  <cp:lastModifiedBy>António Piedade</cp:lastModifiedBy>
  <cp:revision>14</cp:revision>
  <dcterms:created xsi:type="dcterms:W3CDTF">2018-02-26T09:56:00Z</dcterms:created>
  <dcterms:modified xsi:type="dcterms:W3CDTF">2018-03-07T12:15:00Z</dcterms:modified>
</cp:coreProperties>
</file>