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2D" w:rsidRDefault="00F93FE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NOVAS ESTRATÉGIAS NO T</w:t>
      </w:r>
      <w:r w:rsidR="007C3D2D">
        <w:rPr>
          <w:rFonts w:ascii="Arial" w:hAnsi="Arial" w:cs="Arial"/>
          <w:color w:val="222222"/>
          <w:sz w:val="20"/>
          <w:szCs w:val="20"/>
        </w:rPr>
        <w:t>RATAMENTO DE DOENÇAS INFECIOSAS.</w:t>
      </w:r>
    </w:p>
    <w:p w:rsidR="00C55AB9" w:rsidRDefault="007C3D2D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Artigo na revista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Science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propõe novo olhar sobre doenças avassaladoras</w:t>
      </w:r>
      <w:r>
        <w:rPr>
          <w:rFonts w:ascii="Arial" w:hAnsi="Arial" w:cs="Arial"/>
          <w:color w:val="222222"/>
          <w:sz w:val="20"/>
          <w:szCs w:val="20"/>
        </w:rPr>
        <w:br/>
      </w:r>
      <w:r w:rsidR="00F93FE5">
        <w:rPr>
          <w:rFonts w:ascii="Arial" w:hAnsi="Arial" w:cs="Arial"/>
          <w:color w:val="222222"/>
          <w:sz w:val="20"/>
          <w:szCs w:val="20"/>
        </w:rPr>
        <w:br/>
        <w:t xml:space="preserve">Praticamente toda a medicina convencional se baseia na utilização de duas estratégias empregues pelo sistema imune contra doenças </w:t>
      </w:r>
      <w:r w:rsidR="00420788">
        <w:rPr>
          <w:rFonts w:ascii="Arial" w:hAnsi="Arial" w:cs="Arial"/>
          <w:color w:val="222222"/>
          <w:sz w:val="20"/>
          <w:szCs w:val="20"/>
        </w:rPr>
        <w:t>infecciosas</w:t>
      </w:r>
      <w:r w:rsidR="00F93FE5">
        <w:rPr>
          <w:rFonts w:ascii="Arial" w:hAnsi="Arial" w:cs="Arial"/>
          <w:color w:val="222222"/>
          <w:sz w:val="20"/>
          <w:szCs w:val="20"/>
        </w:rPr>
        <w:t xml:space="preserve">: detecção e eliminação </w:t>
      </w:r>
      <w:r w:rsidR="00C55AB9">
        <w:rPr>
          <w:rFonts w:ascii="Arial" w:hAnsi="Arial" w:cs="Arial"/>
          <w:color w:val="222222"/>
          <w:sz w:val="20"/>
          <w:szCs w:val="20"/>
        </w:rPr>
        <w:t>de agentes invasores.</w:t>
      </w:r>
    </w:p>
    <w:p w:rsidR="007835EE" w:rsidRDefault="00F93FE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Miguel Soares, do Instituto Gulbenkian de Ciência,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Ruslan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Medzhitov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de Yale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School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Medicine e David Schneider, da Universidade de Stanford, propõe</w:t>
      </w:r>
      <w:r w:rsidR="00C55AB9">
        <w:rPr>
          <w:rFonts w:ascii="Arial" w:hAnsi="Arial" w:cs="Arial"/>
          <w:color w:val="222222"/>
          <w:sz w:val="20"/>
          <w:szCs w:val="20"/>
        </w:rPr>
        <w:t>m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2252E3">
        <w:rPr>
          <w:rFonts w:ascii="Arial" w:hAnsi="Arial" w:cs="Arial"/>
          <w:color w:val="222222"/>
          <w:sz w:val="20"/>
          <w:szCs w:val="20"/>
        </w:rPr>
        <w:t xml:space="preserve">num artigo publicado </w:t>
      </w:r>
      <w:r w:rsidR="007C3D2D">
        <w:rPr>
          <w:rFonts w:ascii="Arial" w:hAnsi="Arial" w:cs="Arial"/>
          <w:color w:val="222222"/>
          <w:sz w:val="20"/>
          <w:szCs w:val="20"/>
        </w:rPr>
        <w:t xml:space="preserve">a 24 de Fevereiro de 2012 </w:t>
      </w:r>
      <w:r w:rsidR="002252E3">
        <w:rPr>
          <w:rFonts w:ascii="Arial" w:hAnsi="Arial" w:cs="Arial"/>
          <w:color w:val="222222"/>
          <w:sz w:val="20"/>
          <w:szCs w:val="20"/>
        </w:rPr>
        <w:t xml:space="preserve">na </w:t>
      </w:r>
      <w:r w:rsidR="007835EE">
        <w:rPr>
          <w:rFonts w:ascii="Arial" w:hAnsi="Arial" w:cs="Arial"/>
          <w:color w:val="222222"/>
          <w:sz w:val="20"/>
          <w:szCs w:val="20"/>
        </w:rPr>
        <w:t>“</w:t>
      </w:r>
      <w:proofErr w:type="spellStart"/>
      <w:r w:rsidR="002252E3">
        <w:rPr>
          <w:rFonts w:ascii="Arial" w:hAnsi="Arial" w:cs="Arial"/>
          <w:color w:val="222222"/>
          <w:sz w:val="20"/>
          <w:szCs w:val="20"/>
        </w:rPr>
        <w:t>Science</w:t>
      </w:r>
      <w:proofErr w:type="spellEnd"/>
      <w:r w:rsidR="007835EE">
        <w:rPr>
          <w:rFonts w:ascii="Arial" w:hAnsi="Arial" w:cs="Arial"/>
          <w:color w:val="222222"/>
          <w:sz w:val="20"/>
          <w:szCs w:val="20"/>
        </w:rPr>
        <w:t>”</w:t>
      </w:r>
      <w:r w:rsidR="007C3D2D">
        <w:rPr>
          <w:rFonts w:ascii="Arial" w:hAnsi="Arial" w:cs="Arial"/>
          <w:color w:val="222222"/>
          <w:sz w:val="20"/>
          <w:szCs w:val="20"/>
        </w:rPr>
        <w:t>*,</w:t>
      </w:r>
      <w:r w:rsidR="002252E3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que deve ser considerada uma </w:t>
      </w:r>
      <w:r w:rsidR="002252E3">
        <w:rPr>
          <w:rFonts w:ascii="Arial" w:hAnsi="Arial" w:cs="Arial"/>
          <w:color w:val="222222"/>
          <w:sz w:val="20"/>
          <w:szCs w:val="20"/>
        </w:rPr>
        <w:t xml:space="preserve">nova e </w:t>
      </w:r>
      <w:r>
        <w:rPr>
          <w:rFonts w:ascii="Arial" w:hAnsi="Arial" w:cs="Arial"/>
          <w:color w:val="222222"/>
          <w:sz w:val="20"/>
          <w:szCs w:val="20"/>
        </w:rPr>
        <w:t xml:space="preserve">terceira estratégia: a tolerância à </w:t>
      </w:r>
      <w:r w:rsidR="00420788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, um fenómeno no qual o hospedeiro </w:t>
      </w:r>
      <w:r w:rsidR="00420788">
        <w:rPr>
          <w:rFonts w:ascii="Arial" w:hAnsi="Arial" w:cs="Arial"/>
          <w:color w:val="222222"/>
          <w:sz w:val="20"/>
          <w:szCs w:val="20"/>
        </w:rPr>
        <w:t>infectado</w:t>
      </w:r>
      <w:r>
        <w:rPr>
          <w:rFonts w:ascii="Arial" w:hAnsi="Arial" w:cs="Arial"/>
          <w:color w:val="222222"/>
          <w:sz w:val="20"/>
          <w:szCs w:val="20"/>
        </w:rPr>
        <w:t xml:space="preserve"> se protege contra a </w:t>
      </w:r>
      <w:r w:rsidR="00420788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 reduzindo os efeitos nocivos causados quer pelo patogéneo, quer pela resposta imunológica </w:t>
      </w:r>
      <w:r w:rsidR="002252E3">
        <w:rPr>
          <w:rFonts w:ascii="Arial" w:hAnsi="Arial" w:cs="Arial"/>
          <w:color w:val="222222"/>
          <w:sz w:val="20"/>
          <w:szCs w:val="20"/>
        </w:rPr>
        <w:t>arquitectada</w:t>
      </w:r>
      <w:r>
        <w:rPr>
          <w:rFonts w:ascii="Arial" w:hAnsi="Arial" w:cs="Arial"/>
          <w:color w:val="222222"/>
          <w:sz w:val="20"/>
          <w:szCs w:val="20"/>
        </w:rPr>
        <w:t xml:space="preserve"> contra o invasor. </w:t>
      </w:r>
    </w:p>
    <w:p w:rsidR="007C3D2D" w:rsidRDefault="00F93FE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Os autores defendem que o conhecimento dos mecanismos subjacentes a este fenómeno de tolerância poderá abrir caminho ao desenvolvimento de novas terapêuticas de combate a várias doenças </w:t>
      </w:r>
      <w:r w:rsidR="00420788">
        <w:rPr>
          <w:rFonts w:ascii="Arial" w:hAnsi="Arial" w:cs="Arial"/>
          <w:color w:val="222222"/>
          <w:sz w:val="20"/>
          <w:szCs w:val="20"/>
        </w:rPr>
        <w:t>infecciosas</w:t>
      </w:r>
      <w:r>
        <w:rPr>
          <w:rFonts w:ascii="Arial" w:hAnsi="Arial" w:cs="Arial"/>
          <w:color w:val="222222"/>
          <w:sz w:val="20"/>
          <w:szCs w:val="20"/>
        </w:rPr>
        <w:t>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 xml:space="preserve">Após invasão de um organismo por agentes patogénicos (bactérias, vírus ou parasitas), o sistema imune entra em </w:t>
      </w:r>
      <w:r w:rsidR="00420788">
        <w:rPr>
          <w:rFonts w:ascii="Arial" w:hAnsi="Arial" w:cs="Arial"/>
          <w:color w:val="222222"/>
          <w:sz w:val="20"/>
          <w:szCs w:val="20"/>
        </w:rPr>
        <w:t>acção</w:t>
      </w:r>
      <w:r>
        <w:rPr>
          <w:rFonts w:ascii="Arial" w:hAnsi="Arial" w:cs="Arial"/>
          <w:color w:val="222222"/>
          <w:sz w:val="20"/>
          <w:szCs w:val="20"/>
        </w:rPr>
        <w:t xml:space="preserve">: </w:t>
      </w:r>
      <w:r w:rsidR="00420788">
        <w:rPr>
          <w:rFonts w:ascii="Arial" w:hAnsi="Arial" w:cs="Arial"/>
          <w:color w:val="222222"/>
          <w:sz w:val="20"/>
          <w:szCs w:val="20"/>
        </w:rPr>
        <w:t>detecta</w:t>
      </w:r>
      <w:r>
        <w:rPr>
          <w:rFonts w:ascii="Arial" w:hAnsi="Arial" w:cs="Arial"/>
          <w:color w:val="222222"/>
          <w:sz w:val="20"/>
          <w:szCs w:val="20"/>
        </w:rPr>
        <w:t xml:space="preserve">, destrói e, em última análise, elimina o patogéneo. Este fenómeno, chamado de “resistência à </w:t>
      </w:r>
      <w:r w:rsidR="00420788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”, é essencial na </w:t>
      </w:r>
      <w:r w:rsidR="00420788">
        <w:rPr>
          <w:rFonts w:ascii="Arial" w:hAnsi="Arial" w:cs="Arial"/>
          <w:color w:val="222222"/>
          <w:sz w:val="20"/>
          <w:szCs w:val="20"/>
        </w:rPr>
        <w:t>protecção</w:t>
      </w:r>
      <w:r>
        <w:rPr>
          <w:rFonts w:ascii="Arial" w:hAnsi="Arial" w:cs="Arial"/>
          <w:color w:val="222222"/>
          <w:sz w:val="20"/>
          <w:szCs w:val="20"/>
        </w:rPr>
        <w:t xml:space="preserve"> do hospedeiro contra </w:t>
      </w:r>
      <w:r w:rsidR="00420788">
        <w:rPr>
          <w:rFonts w:ascii="Arial" w:hAnsi="Arial" w:cs="Arial"/>
          <w:color w:val="222222"/>
          <w:sz w:val="20"/>
          <w:szCs w:val="20"/>
        </w:rPr>
        <w:t>infecções</w:t>
      </w:r>
      <w:r>
        <w:rPr>
          <w:rFonts w:ascii="Arial" w:hAnsi="Arial" w:cs="Arial"/>
          <w:color w:val="222222"/>
          <w:sz w:val="20"/>
          <w:szCs w:val="20"/>
        </w:rPr>
        <w:t xml:space="preserve">, mas acarreta muitas vezes danos colaterais a alguns dos órgãos vitais do hospedeiro (fígado, rim, coração, cérebro). Se não forem controlados, os danos causados nestes tecidos poderão ter consequências mortais, como acontece em malária grave,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sepsis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grave e, possivelmente, noutras doenças </w:t>
      </w:r>
      <w:r w:rsidR="00420788">
        <w:rPr>
          <w:rFonts w:ascii="Arial" w:hAnsi="Arial" w:cs="Arial"/>
          <w:color w:val="222222"/>
          <w:sz w:val="20"/>
          <w:szCs w:val="20"/>
        </w:rPr>
        <w:t>infecciosas</w:t>
      </w:r>
      <w:r>
        <w:rPr>
          <w:rFonts w:ascii="Arial" w:hAnsi="Arial" w:cs="Arial"/>
          <w:color w:val="222222"/>
          <w:sz w:val="20"/>
          <w:szCs w:val="20"/>
        </w:rPr>
        <w:t xml:space="preserve">. A tolerância reduz o impacto prejudicial da </w:t>
      </w:r>
      <w:r w:rsidR="00420788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 e da resposta imunológica subsequente sobre o hospedeiro.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 xml:space="preserve">Embora seja um fenómeno bem conhecido em imunologia de plantas, a tolerância à </w:t>
      </w:r>
      <w:r w:rsidR="007835EE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 em mamíferos, incluindo humanos, tem recebido pouca atenção. Apesar do muito que ainda falta conhecer sobre como e em que circunstâncias tolerância à </w:t>
      </w:r>
      <w:r w:rsidR="007835EE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 é empregue pelo hospedeiro, quase tudo o que se sabe sobre os mecanismos moleculares subjacente a esta estratégia de defesa do hospedeiro, foi descoberto no Instituto Gulbenkian de Ciência, pelo grupo liderado por Miguel Soares. Esta equipa está interessada em identificar os mecanismos de tolerância específicos a cada doença, e ainda, em desvendar as estratégias gerais de tolerância que poderão, possivelmente, ser empregues como </w:t>
      </w:r>
      <w:r w:rsidR="007C3D2D">
        <w:rPr>
          <w:rFonts w:ascii="Arial" w:hAnsi="Arial" w:cs="Arial"/>
          <w:color w:val="222222"/>
          <w:sz w:val="20"/>
          <w:szCs w:val="20"/>
        </w:rPr>
        <w:t>protecção</w:t>
      </w:r>
      <w:r>
        <w:rPr>
          <w:rFonts w:ascii="Arial" w:hAnsi="Arial" w:cs="Arial"/>
          <w:color w:val="222222"/>
          <w:sz w:val="20"/>
          <w:szCs w:val="20"/>
        </w:rPr>
        <w:t xml:space="preserve"> do hospedeiro contra </w:t>
      </w:r>
      <w:r w:rsidR="007C3D2D">
        <w:rPr>
          <w:rFonts w:ascii="Arial" w:hAnsi="Arial" w:cs="Arial"/>
          <w:color w:val="222222"/>
          <w:sz w:val="20"/>
          <w:szCs w:val="20"/>
        </w:rPr>
        <w:t>infecções</w:t>
      </w:r>
      <w:r>
        <w:rPr>
          <w:rFonts w:ascii="Arial" w:hAnsi="Arial" w:cs="Arial"/>
          <w:color w:val="222222"/>
          <w:sz w:val="20"/>
          <w:szCs w:val="20"/>
        </w:rPr>
        <w:t xml:space="preserve"> futuras.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 xml:space="preserve">Em estudos animais e em humanos, a resistência à </w:t>
      </w:r>
      <w:r w:rsidR="007C3D2D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 é geralmente o único mecanismo tido em conta quando há </w:t>
      </w:r>
      <w:r w:rsidR="007C3D2D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. Desta forma, sempre que um hospedeiro sucumbe a uma </w:t>
      </w:r>
      <w:r w:rsidR="007C3D2D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, tal resultado é atribuído a deficiências do sistema imune. Os autores sustentam que não se deve generalizar, e sublinham a importância de se distinguir entre resistência falhada e tolerância falhada, quando se analisa a causa da morbilidade e mortalidade resultante de doenças </w:t>
      </w:r>
      <w:r w:rsidR="007C3D2D">
        <w:rPr>
          <w:rFonts w:ascii="Arial" w:hAnsi="Arial" w:cs="Arial"/>
          <w:color w:val="222222"/>
          <w:sz w:val="20"/>
          <w:szCs w:val="20"/>
        </w:rPr>
        <w:t>infecciosas</w:t>
      </w:r>
      <w:r>
        <w:rPr>
          <w:rFonts w:ascii="Arial" w:hAnsi="Arial" w:cs="Arial"/>
          <w:color w:val="222222"/>
          <w:sz w:val="20"/>
          <w:szCs w:val="20"/>
        </w:rPr>
        <w:t xml:space="preserve">. Tal distinção definirá qual a abordagem terapêutica a escolher. Quando o problema principal é falha da tolerância, reforçar o sistema imune ou administrar antibióticos de nada servirá. Nestes casos, seria provavelmente mais eficaz melhorar a tolerância, no combate a </w:t>
      </w:r>
      <w:r w:rsidR="007C3D2D">
        <w:rPr>
          <w:rFonts w:ascii="Arial" w:hAnsi="Arial" w:cs="Arial"/>
          <w:color w:val="222222"/>
          <w:sz w:val="20"/>
          <w:szCs w:val="20"/>
        </w:rPr>
        <w:t>infecções</w:t>
      </w:r>
      <w:r>
        <w:rPr>
          <w:rFonts w:ascii="Arial" w:hAnsi="Arial" w:cs="Arial"/>
          <w:color w:val="222222"/>
          <w:sz w:val="20"/>
          <w:szCs w:val="20"/>
        </w:rPr>
        <w:t>, doenças inflamatória e doenças auto-imunes.</w:t>
      </w:r>
    </w:p>
    <w:p w:rsidR="007835EE" w:rsidRDefault="00F93FE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 xml:space="preserve">(*)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Ruslan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Medzhitov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David Schneider, Miguel Soares (2012)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Disease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Tolerance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as a Defense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Strategy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Science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7C3D2D" w:rsidRDefault="007835EE" w:rsidP="007C3D2D">
      <w:pPr>
        <w:rPr>
          <w:rStyle w:val="apple-converted-spac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</w:pPr>
      <w:proofErr w:type="spellStart"/>
      <w:r>
        <w:t>Science</w:t>
      </w:r>
      <w:proofErr w:type="spellEnd"/>
      <w:r>
        <w:t>,</w:t>
      </w:r>
      <w:r>
        <w:rPr>
          <w:rStyle w:val="apple-converted-spac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 </w:t>
      </w:r>
      <w:r>
        <w:rPr>
          <w:rStyle w:val="slug-pub-dat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24 Fevereiro 2012:</w:t>
      </w:r>
      <w:r>
        <w:rPr>
          <w:rStyle w:val="apple-converted-spac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 </w:t>
      </w:r>
      <w:r>
        <w:rPr>
          <w:rStyle w:val="slug-vol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Vol. 335</w:t>
      </w:r>
      <w:r>
        <w:rPr>
          <w:rStyle w:val="apple-converted-spac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 </w:t>
      </w:r>
      <w:r>
        <w:rPr>
          <w:rStyle w:val="slug-issu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no. 6071</w:t>
      </w:r>
      <w:r>
        <w:rPr>
          <w:rStyle w:val="apple-converted-spac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 </w:t>
      </w:r>
      <w:r>
        <w:rPr>
          <w:rStyle w:val="slug-pages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pp. 936-941</w:t>
      </w:r>
      <w:r w:rsidR="007C3D2D">
        <w:rPr>
          <w:rStyle w:val="apple-converted-spac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;</w:t>
      </w:r>
    </w:p>
    <w:p w:rsidR="007C3D2D" w:rsidRDefault="007C3D2D" w:rsidP="007C3D2D">
      <w:pPr>
        <w:rPr>
          <w:rStyle w:val="slug-doi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Lucida Grande" w:hAnsi="Lucida Grande"/>
          <w:color w:val="333300"/>
          <w:sz w:val="18"/>
          <w:szCs w:val="18"/>
          <w:shd w:val="clear" w:color="auto" w:fill="FFFFFF"/>
        </w:rPr>
        <w:lastRenderedPageBreak/>
        <w:t>DOI:</w:t>
      </w:r>
      <w:r>
        <w:rPr>
          <w:rStyle w:val="apple-converted-space"/>
          <w:rFonts w:ascii="Lucida Grande" w:hAnsi="Lucida Grande"/>
          <w:color w:val="333300"/>
          <w:sz w:val="18"/>
          <w:szCs w:val="18"/>
          <w:shd w:val="clear" w:color="auto" w:fill="FFFFFF"/>
        </w:rPr>
        <w:t> </w:t>
      </w:r>
      <w:r>
        <w:rPr>
          <w:rStyle w:val="slug-doi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  <w:t>10.1126/science.1214935</w:t>
      </w:r>
    </w:p>
    <w:p w:rsidR="007835EE" w:rsidRDefault="007835EE">
      <w:pPr>
        <w:rPr>
          <w:rStyle w:val="apple-converted-space"/>
          <w:rFonts w:ascii="Lucida Grande" w:hAnsi="Lucida Grande"/>
          <w:color w:val="333300"/>
          <w:sz w:val="18"/>
          <w:szCs w:val="18"/>
          <w:bdr w:val="none" w:sz="0" w:space="0" w:color="auto" w:frame="1"/>
          <w:shd w:val="clear" w:color="auto" w:fill="FFFFFF"/>
        </w:rPr>
      </w:pPr>
    </w:p>
    <w:p w:rsidR="007835EE" w:rsidRPr="007C3D2D" w:rsidRDefault="00F93FE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 w:rsidR="007835EE" w:rsidRPr="007C3D2D">
        <w:rPr>
          <w:rFonts w:ascii="Arial" w:hAnsi="Arial" w:cs="Arial"/>
          <w:b/>
          <w:color w:val="222222"/>
          <w:sz w:val="20"/>
          <w:szCs w:val="20"/>
        </w:rPr>
        <w:t>Legenda para a imagem:</w:t>
      </w:r>
    </w:p>
    <w:p w:rsidR="00C974D3" w:rsidRDefault="00F93FE5">
      <w:r>
        <w:rPr>
          <w:rFonts w:ascii="Arial" w:hAnsi="Arial" w:cs="Arial"/>
          <w:color w:val="222222"/>
          <w:sz w:val="20"/>
          <w:szCs w:val="20"/>
        </w:rPr>
        <w:t xml:space="preserve">As </w:t>
      </w:r>
      <w:r w:rsidR="007C3D2D">
        <w:rPr>
          <w:rFonts w:ascii="Arial" w:hAnsi="Arial" w:cs="Arial"/>
          <w:color w:val="222222"/>
          <w:sz w:val="20"/>
          <w:szCs w:val="20"/>
        </w:rPr>
        <w:t>infecções</w:t>
      </w:r>
      <w:r>
        <w:rPr>
          <w:rFonts w:ascii="Arial" w:hAnsi="Arial" w:cs="Arial"/>
          <w:color w:val="222222"/>
          <w:sz w:val="20"/>
          <w:szCs w:val="20"/>
        </w:rPr>
        <w:t xml:space="preserve"> acarretam dois tipos de “prejuízo” ao hospedeiro.  Os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patogéneos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podem danificar </w:t>
      </w:r>
      <w:r w:rsidR="007C3D2D">
        <w:rPr>
          <w:rFonts w:ascii="Arial" w:hAnsi="Arial" w:cs="Arial"/>
          <w:color w:val="222222"/>
          <w:sz w:val="20"/>
          <w:szCs w:val="20"/>
        </w:rPr>
        <w:t>directamente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</w:rPr>
        <w:t xml:space="preserve"> os tecidos do hospedeiro (seta cor de rosa ascendente). O sistema imune do hospedeiro reduz a quantidade de patogéneo no organismo (seta verde descendente) através de mecanismos de resistência. O sistema imune também pode danificar os tecidos do hospedeiro (seta verde e cor de rosa ascendente). O hospedeiro reduz estes “prejuízos” através de mecanismos de tolerância que reduzem os danos </w:t>
      </w:r>
      <w:r w:rsidR="007C3D2D">
        <w:rPr>
          <w:rFonts w:ascii="Arial" w:hAnsi="Arial" w:cs="Arial"/>
          <w:color w:val="222222"/>
          <w:sz w:val="20"/>
          <w:szCs w:val="20"/>
        </w:rPr>
        <w:t>directos</w:t>
      </w:r>
      <w:r>
        <w:rPr>
          <w:rFonts w:ascii="Arial" w:hAnsi="Arial" w:cs="Arial"/>
          <w:color w:val="222222"/>
          <w:sz w:val="20"/>
          <w:szCs w:val="20"/>
        </w:rPr>
        <w:t xml:space="preserve"> causados pelos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patogéneos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 o impacto negativo das defesas imunitárias (balões verdes). (Fonte: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Science</w:t>
      </w:r>
      <w:proofErr w:type="spellEnd"/>
      <w:r>
        <w:rPr>
          <w:rFonts w:ascii="Arial" w:hAnsi="Arial" w:cs="Arial"/>
          <w:color w:val="222222"/>
          <w:sz w:val="20"/>
          <w:szCs w:val="20"/>
        </w:rPr>
        <w:t>/AAAS)</w:t>
      </w:r>
    </w:p>
    <w:sectPr w:rsidR="00C9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0"/>
    <w:rsid w:val="002252E3"/>
    <w:rsid w:val="00235470"/>
    <w:rsid w:val="00420788"/>
    <w:rsid w:val="006F38C0"/>
    <w:rsid w:val="007835EE"/>
    <w:rsid w:val="007C3D2D"/>
    <w:rsid w:val="00922ACE"/>
    <w:rsid w:val="00C55AB9"/>
    <w:rsid w:val="00C974D3"/>
    <w:rsid w:val="00F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35470"/>
  </w:style>
  <w:style w:type="character" w:customStyle="1" w:styleId="cit-print-date">
    <w:name w:val="cit-print-date"/>
    <w:basedOn w:val="Tipodeletrapredefinidodopargrafo"/>
    <w:rsid w:val="00235470"/>
  </w:style>
  <w:style w:type="character" w:customStyle="1" w:styleId="cit-sep">
    <w:name w:val="cit-sep"/>
    <w:basedOn w:val="Tipodeletrapredefinidodopargrafo"/>
    <w:rsid w:val="00235470"/>
  </w:style>
  <w:style w:type="character" w:customStyle="1" w:styleId="cit-first-page">
    <w:name w:val="cit-first-page"/>
    <w:basedOn w:val="Tipodeletrapredefinidodopargrafo"/>
    <w:rsid w:val="00235470"/>
  </w:style>
  <w:style w:type="character" w:customStyle="1" w:styleId="cit-last-page">
    <w:name w:val="cit-last-page"/>
    <w:basedOn w:val="Tipodeletrapredefinidodopargrafo"/>
    <w:rsid w:val="00235470"/>
  </w:style>
  <w:style w:type="character" w:customStyle="1" w:styleId="slug-doi">
    <w:name w:val="slug-doi"/>
    <w:basedOn w:val="Tipodeletrapredefinidodopargrafo"/>
    <w:rsid w:val="007835EE"/>
  </w:style>
  <w:style w:type="character" w:customStyle="1" w:styleId="slug-pub-date">
    <w:name w:val="slug-pub-date"/>
    <w:basedOn w:val="Tipodeletrapredefinidodopargrafo"/>
    <w:rsid w:val="007835EE"/>
  </w:style>
  <w:style w:type="character" w:customStyle="1" w:styleId="slug-vol">
    <w:name w:val="slug-vol"/>
    <w:basedOn w:val="Tipodeletrapredefinidodopargrafo"/>
    <w:rsid w:val="007835EE"/>
  </w:style>
  <w:style w:type="character" w:customStyle="1" w:styleId="slug-issue">
    <w:name w:val="slug-issue"/>
    <w:basedOn w:val="Tipodeletrapredefinidodopargrafo"/>
    <w:rsid w:val="007835EE"/>
  </w:style>
  <w:style w:type="character" w:customStyle="1" w:styleId="slug-pages">
    <w:name w:val="slug-pages"/>
    <w:basedOn w:val="Tipodeletrapredefinidodopargrafo"/>
    <w:rsid w:val="00783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35470"/>
  </w:style>
  <w:style w:type="character" w:customStyle="1" w:styleId="cit-print-date">
    <w:name w:val="cit-print-date"/>
    <w:basedOn w:val="Tipodeletrapredefinidodopargrafo"/>
    <w:rsid w:val="00235470"/>
  </w:style>
  <w:style w:type="character" w:customStyle="1" w:styleId="cit-sep">
    <w:name w:val="cit-sep"/>
    <w:basedOn w:val="Tipodeletrapredefinidodopargrafo"/>
    <w:rsid w:val="00235470"/>
  </w:style>
  <w:style w:type="character" w:customStyle="1" w:styleId="cit-first-page">
    <w:name w:val="cit-first-page"/>
    <w:basedOn w:val="Tipodeletrapredefinidodopargrafo"/>
    <w:rsid w:val="00235470"/>
  </w:style>
  <w:style w:type="character" w:customStyle="1" w:styleId="cit-last-page">
    <w:name w:val="cit-last-page"/>
    <w:basedOn w:val="Tipodeletrapredefinidodopargrafo"/>
    <w:rsid w:val="00235470"/>
  </w:style>
  <w:style w:type="character" w:customStyle="1" w:styleId="slug-doi">
    <w:name w:val="slug-doi"/>
    <w:basedOn w:val="Tipodeletrapredefinidodopargrafo"/>
    <w:rsid w:val="007835EE"/>
  </w:style>
  <w:style w:type="character" w:customStyle="1" w:styleId="slug-pub-date">
    <w:name w:val="slug-pub-date"/>
    <w:basedOn w:val="Tipodeletrapredefinidodopargrafo"/>
    <w:rsid w:val="007835EE"/>
  </w:style>
  <w:style w:type="character" w:customStyle="1" w:styleId="slug-vol">
    <w:name w:val="slug-vol"/>
    <w:basedOn w:val="Tipodeletrapredefinidodopargrafo"/>
    <w:rsid w:val="007835EE"/>
  </w:style>
  <w:style w:type="character" w:customStyle="1" w:styleId="slug-issue">
    <w:name w:val="slug-issue"/>
    <w:basedOn w:val="Tipodeletrapredefinidodopargrafo"/>
    <w:rsid w:val="007835EE"/>
  </w:style>
  <w:style w:type="character" w:customStyle="1" w:styleId="slug-pages">
    <w:name w:val="slug-pages"/>
    <w:basedOn w:val="Tipodeletrapredefinidodopargrafo"/>
    <w:rsid w:val="0078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3457</Characters>
  <Application>Microsoft Office Word</Application>
  <DocSecurity>0</DocSecurity>
  <Lines>59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2</cp:revision>
  <dcterms:created xsi:type="dcterms:W3CDTF">2012-02-24T12:09:00Z</dcterms:created>
  <dcterms:modified xsi:type="dcterms:W3CDTF">2012-02-24T12:09:00Z</dcterms:modified>
</cp:coreProperties>
</file>