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B76" w:rsidRDefault="00EE5B76" w:rsidP="009C10B5">
      <w:pPr>
        <w:jc w:val="center"/>
        <w:rPr>
          <w:b/>
          <w:sz w:val="28"/>
          <w:lang w:val="pt-PT"/>
        </w:rPr>
      </w:pPr>
      <w:r w:rsidRPr="00EE5B76">
        <w:rPr>
          <w:b/>
          <w:noProof/>
          <w:lang w:val="pt-PT" w:eastAsia="pt-PT"/>
        </w:rPr>
        <w:drawing>
          <wp:inline distT="0" distB="0" distL="0" distR="0" wp14:anchorId="2F79F3EF" wp14:editId="748FD82F">
            <wp:extent cx="3456384" cy="831488"/>
            <wp:effectExtent l="0" t="0" r="0" b="698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7"/>
                    <a:stretch>
                      <a:fillRect/>
                    </a:stretch>
                  </pic:blipFill>
                  <pic:spPr>
                    <a:xfrm>
                      <a:off x="0" y="0"/>
                      <a:ext cx="3456384" cy="831488"/>
                    </a:xfrm>
                    <a:prstGeom prst="rect">
                      <a:avLst/>
                    </a:prstGeom>
                  </pic:spPr>
                </pic:pic>
              </a:graphicData>
            </a:graphic>
          </wp:inline>
        </w:drawing>
      </w:r>
    </w:p>
    <w:p w:rsidR="00EE5B76" w:rsidRDefault="00EE5B76" w:rsidP="009C10B5">
      <w:pPr>
        <w:jc w:val="center"/>
        <w:rPr>
          <w:b/>
          <w:sz w:val="28"/>
          <w:lang w:val="pt-PT"/>
        </w:rPr>
      </w:pPr>
    </w:p>
    <w:p w:rsidR="00C33070" w:rsidRDefault="00C33070" w:rsidP="009C10B5">
      <w:pPr>
        <w:jc w:val="center"/>
        <w:rPr>
          <w:b/>
          <w:sz w:val="28"/>
          <w:lang w:val="pt-PT"/>
        </w:rPr>
      </w:pPr>
    </w:p>
    <w:p w:rsidR="009C10B5" w:rsidRPr="00EE5B76" w:rsidRDefault="0002287D" w:rsidP="009C10B5">
      <w:pPr>
        <w:jc w:val="center"/>
        <w:rPr>
          <w:b/>
          <w:sz w:val="28"/>
          <w:lang w:val="pt-PT"/>
        </w:rPr>
      </w:pPr>
      <w:r w:rsidRPr="00EE5B76">
        <w:rPr>
          <w:b/>
          <w:sz w:val="28"/>
          <w:lang w:val="pt-PT"/>
        </w:rPr>
        <w:t xml:space="preserve">Uma análise </w:t>
      </w:r>
      <w:r w:rsidR="003432CA">
        <w:rPr>
          <w:b/>
          <w:sz w:val="28"/>
          <w:lang w:val="pt-PT"/>
        </w:rPr>
        <w:t>sobre os modos de transmissão da</w:t>
      </w:r>
      <w:r w:rsidRPr="00EE5B76">
        <w:rPr>
          <w:b/>
          <w:sz w:val="28"/>
          <w:lang w:val="pt-PT"/>
        </w:rPr>
        <w:t xml:space="preserve"> COVID-19</w:t>
      </w:r>
    </w:p>
    <w:p w:rsidR="00CD4221" w:rsidRPr="00EE5B76" w:rsidRDefault="00B3447F" w:rsidP="009C10B5">
      <w:pPr>
        <w:jc w:val="center"/>
        <w:rPr>
          <w:b/>
          <w:sz w:val="28"/>
          <w:lang w:val="pt-PT"/>
        </w:rPr>
      </w:pPr>
      <w:r w:rsidRPr="00EE5B76">
        <w:rPr>
          <w:b/>
          <w:sz w:val="28"/>
          <w:lang w:val="pt-PT"/>
        </w:rPr>
        <w:t xml:space="preserve"> </w:t>
      </w:r>
      <w:proofErr w:type="gramStart"/>
      <w:r w:rsidRPr="00EE5B76">
        <w:rPr>
          <w:b/>
          <w:sz w:val="28"/>
          <w:lang w:val="pt-PT"/>
        </w:rPr>
        <w:t>à</w:t>
      </w:r>
      <w:proofErr w:type="gramEnd"/>
      <w:r w:rsidRPr="00EE5B76">
        <w:rPr>
          <w:b/>
          <w:sz w:val="28"/>
          <w:lang w:val="pt-PT"/>
        </w:rPr>
        <w:t xml:space="preserve"> luz dos conceitos de Qualidade do Ar Interior</w:t>
      </w:r>
    </w:p>
    <w:p w:rsidR="00EE5B76" w:rsidRDefault="00EE5B76" w:rsidP="009C10B5">
      <w:pPr>
        <w:jc w:val="center"/>
        <w:rPr>
          <w:b/>
          <w:lang w:val="pt-PT"/>
        </w:rPr>
      </w:pPr>
    </w:p>
    <w:p w:rsidR="00EE5B76" w:rsidRDefault="00EE5B76" w:rsidP="009C10B5">
      <w:pPr>
        <w:jc w:val="center"/>
        <w:rPr>
          <w:b/>
          <w:lang w:val="pt-PT"/>
        </w:rPr>
      </w:pPr>
    </w:p>
    <w:p w:rsidR="00EE5B76" w:rsidRDefault="00EE5B76" w:rsidP="009C10B5">
      <w:pPr>
        <w:jc w:val="center"/>
        <w:rPr>
          <w:b/>
          <w:lang w:val="pt-PT"/>
        </w:rPr>
      </w:pPr>
    </w:p>
    <w:p w:rsidR="00EE5B76" w:rsidRDefault="00EE5B76" w:rsidP="00EE5B76">
      <w:pPr>
        <w:jc w:val="center"/>
        <w:rPr>
          <w:b/>
          <w:lang w:val="pt-PT"/>
        </w:rPr>
      </w:pPr>
      <w:r>
        <w:rPr>
          <w:b/>
          <w:lang w:val="pt-PT"/>
        </w:rPr>
        <w:t>Manuel Gameiro da Silva</w:t>
      </w:r>
    </w:p>
    <w:p w:rsidR="0002287D" w:rsidRPr="00C33070" w:rsidRDefault="00EE5B76" w:rsidP="00EE5B76">
      <w:pPr>
        <w:jc w:val="center"/>
        <w:rPr>
          <w:rFonts w:asciiTheme="majorHAnsi" w:hAnsiTheme="majorHAnsi" w:cstheme="majorHAnsi"/>
          <w:b/>
          <w:lang w:val="pt-PT"/>
        </w:rPr>
      </w:pPr>
      <w:r w:rsidRPr="00C33070">
        <w:rPr>
          <w:rFonts w:asciiTheme="majorHAnsi" w:hAnsiTheme="majorHAnsi" w:cstheme="majorHAnsi"/>
          <w:b/>
          <w:lang w:val="pt-PT"/>
        </w:rPr>
        <w:t>Professor Catedrático do Departamento de Engenharia Mecânica</w:t>
      </w:r>
    </w:p>
    <w:p w:rsidR="00EE5B76" w:rsidRPr="00C33070" w:rsidRDefault="00EE5B76" w:rsidP="00EE5B76">
      <w:pPr>
        <w:jc w:val="center"/>
        <w:rPr>
          <w:rFonts w:asciiTheme="majorHAnsi" w:hAnsiTheme="majorHAnsi" w:cstheme="majorHAnsi"/>
          <w:b/>
          <w:lang w:val="pt-PT"/>
        </w:rPr>
      </w:pPr>
      <w:r w:rsidRPr="00C33070">
        <w:rPr>
          <w:rFonts w:asciiTheme="majorHAnsi" w:hAnsiTheme="majorHAnsi" w:cstheme="majorHAnsi"/>
          <w:b/>
          <w:lang w:val="pt-PT"/>
        </w:rPr>
        <w:t>Coordenador da Iniciativa Energia para Sustentabilidade da Universidade de Coimbra</w:t>
      </w:r>
    </w:p>
    <w:p w:rsidR="00EE5B76" w:rsidRPr="00C33070" w:rsidRDefault="00EE5B76" w:rsidP="00EE5B76">
      <w:pPr>
        <w:jc w:val="center"/>
        <w:rPr>
          <w:rFonts w:asciiTheme="majorHAnsi" w:hAnsiTheme="majorHAnsi" w:cstheme="majorHAnsi"/>
          <w:b/>
          <w:lang w:val="pt-PT"/>
        </w:rPr>
      </w:pPr>
      <w:r w:rsidRPr="00C33070">
        <w:rPr>
          <w:rFonts w:asciiTheme="majorHAnsi" w:hAnsiTheme="majorHAnsi" w:cstheme="majorHAnsi"/>
          <w:b/>
          <w:lang w:val="pt-PT"/>
        </w:rPr>
        <w:t>Especialista em Climatização pela Ordem dos Engenheiros</w:t>
      </w:r>
    </w:p>
    <w:p w:rsidR="00EE5B76" w:rsidRDefault="00EE5B76" w:rsidP="00EE5B76">
      <w:pPr>
        <w:jc w:val="center"/>
        <w:rPr>
          <w:b/>
          <w:lang w:val="pt-PT"/>
        </w:rPr>
      </w:pPr>
      <w:r w:rsidRPr="00C33070">
        <w:rPr>
          <w:rFonts w:asciiTheme="majorHAnsi" w:hAnsiTheme="majorHAnsi" w:cstheme="majorHAnsi"/>
          <w:b/>
          <w:lang w:val="pt-PT"/>
        </w:rPr>
        <w:t>Vice-Presidente da REHVA</w:t>
      </w:r>
    </w:p>
    <w:p w:rsidR="00EE5B76" w:rsidRDefault="00EE5B76" w:rsidP="00EE5B76">
      <w:pPr>
        <w:jc w:val="center"/>
        <w:rPr>
          <w:lang w:val="pt-PT"/>
        </w:rPr>
      </w:pPr>
    </w:p>
    <w:p w:rsidR="0002287D" w:rsidRDefault="0002287D">
      <w:pPr>
        <w:rPr>
          <w:lang w:val="pt-PT"/>
        </w:rPr>
      </w:pPr>
    </w:p>
    <w:p w:rsidR="0002287D" w:rsidRPr="00EE5B76" w:rsidRDefault="0002287D">
      <w:pPr>
        <w:rPr>
          <w:b/>
          <w:lang w:val="pt-PT"/>
        </w:rPr>
      </w:pPr>
      <w:r w:rsidRPr="00EE5B76">
        <w:rPr>
          <w:b/>
          <w:lang w:val="pt-PT"/>
        </w:rPr>
        <w:t>Introdução</w:t>
      </w:r>
    </w:p>
    <w:p w:rsidR="0002287D" w:rsidRDefault="00EE5B76" w:rsidP="00BE5F82">
      <w:pPr>
        <w:jc w:val="both"/>
        <w:rPr>
          <w:lang w:val="pt-PT"/>
        </w:rPr>
      </w:pPr>
      <w:r>
        <w:rPr>
          <w:lang w:val="pt-PT"/>
        </w:rPr>
        <w:t xml:space="preserve">As dúvidas suscitadas ao autor relativamente à importância que as autoridades de saúde, quer a nível nacional, quer a nível internacional, </w:t>
      </w:r>
      <w:r w:rsidR="00E67188">
        <w:rPr>
          <w:lang w:val="pt-PT"/>
        </w:rPr>
        <w:t xml:space="preserve">atribuem </w:t>
      </w:r>
      <w:r>
        <w:rPr>
          <w:lang w:val="pt-PT"/>
        </w:rPr>
        <w:t>ao papel que desempenham os dife</w:t>
      </w:r>
      <w:r w:rsidR="00E67188">
        <w:rPr>
          <w:lang w:val="pt-PT"/>
        </w:rPr>
        <w:t>rentes modos de transmissão na propagação das infeções virais e as consequências que daí podem advir constituíram a motivação principal para a redação do presente texto.</w:t>
      </w:r>
    </w:p>
    <w:p w:rsidR="00E67188" w:rsidRDefault="00E67188" w:rsidP="00BE5F82">
      <w:pPr>
        <w:jc w:val="both"/>
        <w:rPr>
          <w:lang w:val="pt-PT"/>
        </w:rPr>
      </w:pPr>
      <w:r>
        <w:rPr>
          <w:lang w:val="pt-PT"/>
        </w:rPr>
        <w:t>Tem vindo a ser repetidamente afirmado que a transmissão se faz maioritariamente por contato e através das gotas que</w:t>
      </w:r>
      <w:r w:rsidR="00C33070">
        <w:rPr>
          <w:lang w:val="pt-PT"/>
        </w:rPr>
        <w:t>,</w:t>
      </w:r>
      <w:r>
        <w:rPr>
          <w:lang w:val="pt-PT"/>
        </w:rPr>
        <w:t xml:space="preserve"> emitidas pela pessoa infetada</w:t>
      </w:r>
      <w:r w:rsidR="00C33070">
        <w:rPr>
          <w:lang w:val="pt-PT"/>
        </w:rPr>
        <w:t>,</w:t>
      </w:r>
      <w:r>
        <w:rPr>
          <w:lang w:val="pt-PT"/>
        </w:rPr>
        <w:t xml:space="preserve"> atingem no seu percurso o recetor sensível, pelo que se se mantiver uma distância de segurança da ordem de 1 a 2 m, se minimizará fortemente o risco de contaminação e de propagação da doença.</w:t>
      </w:r>
    </w:p>
    <w:p w:rsidR="0002287D" w:rsidRDefault="00E67188" w:rsidP="00BE5F82">
      <w:pPr>
        <w:jc w:val="both"/>
        <w:rPr>
          <w:lang w:val="pt-PT"/>
        </w:rPr>
      </w:pPr>
      <w:r>
        <w:rPr>
          <w:lang w:val="pt-PT"/>
        </w:rPr>
        <w:t>Considera o autor que, sem que haja uma evidência científica que o justifique, se tem menorizado o papel que pode ser desempenhado pela transmissão através do modo de partículas em suspensão</w:t>
      </w:r>
      <w:r w:rsidR="00C33070">
        <w:rPr>
          <w:lang w:val="pt-PT"/>
        </w:rPr>
        <w:t xml:space="preserve"> e que, em consequência, se tê</w:t>
      </w:r>
      <w:r>
        <w:rPr>
          <w:lang w:val="pt-PT"/>
        </w:rPr>
        <w:t>m desaconselhado algumas das medidas de proteção que, provavelmente, estarão na base das taxas de propagaçã</w:t>
      </w:r>
      <w:r w:rsidR="00C33070">
        <w:rPr>
          <w:lang w:val="pt-PT"/>
        </w:rPr>
        <w:t xml:space="preserve">o da epidemia mais modestas em alguns países asiáticos. </w:t>
      </w:r>
    </w:p>
    <w:p w:rsidR="0002287D" w:rsidRDefault="0002287D">
      <w:pPr>
        <w:rPr>
          <w:lang w:val="pt-PT"/>
        </w:rPr>
      </w:pPr>
    </w:p>
    <w:p w:rsidR="00B3447F" w:rsidRDefault="00B3447F">
      <w:pPr>
        <w:rPr>
          <w:lang w:val="pt-PT"/>
        </w:rPr>
      </w:pPr>
    </w:p>
    <w:p w:rsidR="0002287D" w:rsidRPr="005A25D5" w:rsidRDefault="005A25D5">
      <w:pPr>
        <w:rPr>
          <w:b/>
          <w:lang w:val="pt-PT"/>
        </w:rPr>
      </w:pPr>
      <w:r w:rsidRPr="005A25D5">
        <w:rPr>
          <w:b/>
          <w:lang w:val="pt-PT"/>
        </w:rPr>
        <w:t xml:space="preserve">A </w:t>
      </w:r>
      <w:r w:rsidR="00B3447F" w:rsidRPr="005A25D5">
        <w:rPr>
          <w:b/>
          <w:lang w:val="pt-PT"/>
        </w:rPr>
        <w:t>Matéria Particulada na</w:t>
      </w:r>
      <w:r w:rsidR="0002287D" w:rsidRPr="005A25D5">
        <w:rPr>
          <w:b/>
          <w:lang w:val="pt-PT"/>
        </w:rPr>
        <w:t xml:space="preserve"> Qualidade do Ar Interior</w:t>
      </w:r>
    </w:p>
    <w:p w:rsidR="0002287D" w:rsidRDefault="0002287D" w:rsidP="00B3447F">
      <w:pPr>
        <w:jc w:val="both"/>
        <w:rPr>
          <w:lang w:val="pt-PT"/>
        </w:rPr>
      </w:pPr>
      <w:r>
        <w:rPr>
          <w:lang w:val="pt-PT"/>
        </w:rPr>
        <w:t xml:space="preserve">Não restando dúvidas de que </w:t>
      </w:r>
      <w:r w:rsidR="00B3447F">
        <w:rPr>
          <w:lang w:val="pt-PT"/>
        </w:rPr>
        <w:t>o</w:t>
      </w:r>
      <w:r w:rsidR="007F671D">
        <w:rPr>
          <w:lang w:val="pt-PT"/>
        </w:rPr>
        <w:t xml:space="preserve"> corona</w:t>
      </w:r>
      <w:r>
        <w:rPr>
          <w:lang w:val="pt-PT"/>
        </w:rPr>
        <w:t xml:space="preserve">vírus SARS </w:t>
      </w:r>
      <w:r w:rsidR="007F671D">
        <w:rPr>
          <w:lang w:val="pt-PT"/>
        </w:rPr>
        <w:t>2 se</w:t>
      </w:r>
      <w:r>
        <w:rPr>
          <w:lang w:val="pt-PT"/>
        </w:rPr>
        <w:t xml:space="preserve"> transmite maioritariamente através das partículas exaladas pelos doentes contaminados, é importante começar por uma explicação básica sobre como é que a matéria particulada, normalmente designada pelo acrónimo PM (de </w:t>
      </w:r>
      <w:proofErr w:type="spellStart"/>
      <w:r>
        <w:rPr>
          <w:lang w:val="pt-PT"/>
        </w:rPr>
        <w:t>Particulate</w:t>
      </w:r>
      <w:proofErr w:type="spellEnd"/>
      <w:r>
        <w:rPr>
          <w:lang w:val="pt-PT"/>
        </w:rPr>
        <w:t xml:space="preserve"> </w:t>
      </w:r>
      <w:proofErr w:type="spellStart"/>
      <w:r>
        <w:rPr>
          <w:lang w:val="pt-PT"/>
        </w:rPr>
        <w:t>Matter</w:t>
      </w:r>
      <w:proofErr w:type="spellEnd"/>
      <w:r>
        <w:rPr>
          <w:lang w:val="pt-PT"/>
        </w:rPr>
        <w:t>, em inglês) se classifica. Quando estamos a referir-nos a classes de tamanhos de matéria particulada, a seguir a PM escreve-se um número que corresponde ao diâmetro equivalente expresso</w:t>
      </w:r>
      <w:r w:rsidR="00B3447F">
        <w:rPr>
          <w:lang w:val="pt-PT"/>
        </w:rPr>
        <w:t xml:space="preserve"> em </w:t>
      </w:r>
      <w:r>
        <w:rPr>
          <w:lang w:val="pt-PT"/>
        </w:rPr>
        <w:t>mícron (</w:t>
      </w:r>
      <w:r w:rsidR="00B3447F">
        <w:rPr>
          <w:lang w:val="pt-PT"/>
        </w:rPr>
        <w:t xml:space="preserve">1 </w:t>
      </w:r>
      <w:r w:rsidR="00B3447F" w:rsidRPr="00B3447F">
        <w:rPr>
          <w:rFonts w:ascii="Symbol" w:hAnsi="Symbol"/>
          <w:lang w:val="pt-PT"/>
        </w:rPr>
        <w:t></w:t>
      </w:r>
      <w:r w:rsidR="00B3447F">
        <w:rPr>
          <w:lang w:val="pt-PT"/>
        </w:rPr>
        <w:t xml:space="preserve">m = </w:t>
      </w:r>
      <w:r>
        <w:rPr>
          <w:lang w:val="pt-PT"/>
        </w:rPr>
        <w:t xml:space="preserve">0.001 mm). Assim, por exemplo a designação PM10, deve ser entendida como o conjunto de todas as partículas com dimensão inferior a 10 </w:t>
      </w:r>
      <w:r w:rsidR="00B3447F" w:rsidRPr="00B3447F">
        <w:rPr>
          <w:rFonts w:ascii="Symbol" w:hAnsi="Symbol"/>
          <w:lang w:val="pt-PT"/>
        </w:rPr>
        <w:t></w:t>
      </w:r>
      <w:r w:rsidR="00B3447F">
        <w:rPr>
          <w:lang w:val="pt-PT"/>
        </w:rPr>
        <w:t xml:space="preserve">m na amostra de ar que estamos a analisar. </w:t>
      </w:r>
    </w:p>
    <w:p w:rsidR="00B3447F" w:rsidRDefault="00B3447F" w:rsidP="00B3447F">
      <w:pPr>
        <w:jc w:val="both"/>
        <w:rPr>
          <w:lang w:val="pt-PT"/>
        </w:rPr>
      </w:pPr>
      <w:r>
        <w:rPr>
          <w:lang w:val="pt-PT"/>
        </w:rPr>
        <w:t>Na figura 1, apresentam-se os principais tipos de partículas presentes no ar interior, classificados em função das suas gamas de tamanho.</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3447F" w:rsidTr="00B3447F">
        <w:tc>
          <w:tcPr>
            <w:tcW w:w="9350" w:type="dxa"/>
          </w:tcPr>
          <w:p w:rsidR="00B3447F" w:rsidRDefault="00B3447F" w:rsidP="00B3447F">
            <w:pPr>
              <w:jc w:val="both"/>
              <w:rPr>
                <w:lang w:val="pt-PT"/>
              </w:rPr>
            </w:pPr>
            <w:r w:rsidRPr="00B3447F">
              <w:rPr>
                <w:noProof/>
                <w:lang w:val="pt-PT" w:eastAsia="pt-PT"/>
              </w:rPr>
              <w:drawing>
                <wp:inline distT="0" distB="0" distL="0" distR="0">
                  <wp:extent cx="5862637" cy="3297733"/>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65690" cy="3299450"/>
                          </a:xfrm>
                          <a:prstGeom prst="rect">
                            <a:avLst/>
                          </a:prstGeom>
                          <a:noFill/>
                          <a:ln>
                            <a:noFill/>
                          </a:ln>
                        </pic:spPr>
                      </pic:pic>
                    </a:graphicData>
                  </a:graphic>
                </wp:inline>
              </w:drawing>
            </w:r>
          </w:p>
        </w:tc>
      </w:tr>
      <w:tr w:rsidR="00B3447F" w:rsidRPr="00CD0A99" w:rsidTr="00B3447F">
        <w:tc>
          <w:tcPr>
            <w:tcW w:w="9350" w:type="dxa"/>
          </w:tcPr>
          <w:p w:rsidR="00B3447F" w:rsidRDefault="00B3447F" w:rsidP="00B3447F">
            <w:pPr>
              <w:jc w:val="both"/>
              <w:rPr>
                <w:lang w:val="pt-PT"/>
              </w:rPr>
            </w:pPr>
            <w:r>
              <w:rPr>
                <w:lang w:val="pt-PT"/>
              </w:rPr>
              <w:t>Figura 1 – Gamas de tamanho dos principais tipos de matéria particulada no ar interior</w:t>
            </w:r>
          </w:p>
        </w:tc>
      </w:tr>
    </w:tbl>
    <w:p w:rsidR="00B3447F" w:rsidRDefault="00B3447F" w:rsidP="00B3447F">
      <w:pPr>
        <w:jc w:val="both"/>
        <w:rPr>
          <w:lang w:val="pt-PT"/>
        </w:rPr>
      </w:pPr>
    </w:p>
    <w:p w:rsidR="00B3447F" w:rsidRDefault="00B3447F" w:rsidP="00B3447F">
      <w:pPr>
        <w:jc w:val="both"/>
        <w:rPr>
          <w:lang w:val="pt-PT"/>
        </w:rPr>
      </w:pPr>
      <w:r>
        <w:rPr>
          <w:lang w:val="pt-PT"/>
        </w:rPr>
        <w:t>Em termos da forma como estas partículas interagem, sob o ponto de vista estritamente físico, com o nosso sistema respiratório</w:t>
      </w:r>
      <w:r w:rsidR="005A25D5">
        <w:rPr>
          <w:lang w:val="pt-PT"/>
        </w:rPr>
        <w:t>, elas são classificadas, em função do seu nível de penetração, em inaláveis, torácicas e respiráveis, sendo a correspondência entre esta classificação e as gamas de tamanho apresentada</w:t>
      </w:r>
      <w:r w:rsidR="0058010B">
        <w:rPr>
          <w:lang w:val="pt-PT"/>
        </w:rPr>
        <w:t>s</w:t>
      </w:r>
      <w:r w:rsidR="005A25D5">
        <w:rPr>
          <w:lang w:val="pt-PT"/>
        </w:rPr>
        <w:t xml:space="preserve"> na figura 2. As inaláveis são retidas na pilosidade existente no nariz ou pelo muco existente nas cavidades oral, nasal ou na laringe. As partículas torácicas con</w:t>
      </w:r>
      <w:r w:rsidR="00C962D1">
        <w:rPr>
          <w:lang w:val="pt-PT"/>
        </w:rPr>
        <w:t xml:space="preserve">seguem penetrar até à traqueia e </w:t>
      </w:r>
      <w:r w:rsidR="005A25D5">
        <w:rPr>
          <w:lang w:val="pt-PT"/>
        </w:rPr>
        <w:t>aos brônquios</w:t>
      </w:r>
      <w:r w:rsidR="00C962D1">
        <w:rPr>
          <w:lang w:val="pt-PT"/>
        </w:rPr>
        <w:t>,</w:t>
      </w:r>
      <w:r w:rsidR="005A25D5">
        <w:rPr>
          <w:lang w:val="pt-PT"/>
        </w:rPr>
        <w:t xml:space="preserve"> sendo retidas pelo muco aí existente, enquanto as partículas respiráveis vão até aos bronquíolos ou, até mesmo aos alvéolos. Não considerando o seu grau de infecciosidade, sob o ponto de vista estritamente físico, as partículas mais perigosas são as de m</w:t>
      </w:r>
      <w:r w:rsidR="00C962D1">
        <w:rPr>
          <w:lang w:val="pt-PT"/>
        </w:rPr>
        <w:t>enor dimensão, uma vez que se</w:t>
      </w:r>
      <w:r w:rsidR="005A25D5">
        <w:rPr>
          <w:lang w:val="pt-PT"/>
        </w:rPr>
        <w:t xml:space="preserve"> podem alojar nos alvéolos e provocar a sua colmatação, impedindo ou prejudicando as trocas gasosas </w:t>
      </w:r>
      <w:r w:rsidR="00C962D1">
        <w:rPr>
          <w:lang w:val="pt-PT"/>
        </w:rPr>
        <w:t xml:space="preserve">aí </w:t>
      </w:r>
      <w:proofErr w:type="gramStart"/>
      <w:r w:rsidR="005A25D5">
        <w:rPr>
          <w:lang w:val="pt-PT"/>
        </w:rPr>
        <w:t>realizadas que</w:t>
      </w:r>
      <w:proofErr w:type="gramEnd"/>
      <w:r w:rsidR="005A25D5">
        <w:rPr>
          <w:lang w:val="pt-PT"/>
        </w:rPr>
        <w:t xml:space="preserve"> são fulcrais para a vida.</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6385"/>
      </w:tblGrid>
      <w:tr w:rsidR="00A46124" w:rsidTr="00A46124">
        <w:tc>
          <w:tcPr>
            <w:tcW w:w="2965" w:type="dxa"/>
          </w:tcPr>
          <w:p w:rsidR="00A46124" w:rsidRDefault="00A46124" w:rsidP="00B3447F">
            <w:pPr>
              <w:jc w:val="both"/>
              <w:rPr>
                <w:lang w:val="pt-PT"/>
              </w:rPr>
            </w:pPr>
            <w:r w:rsidRPr="00A46124">
              <w:rPr>
                <w:noProof/>
                <w:lang w:val="pt-PT" w:eastAsia="pt-PT"/>
              </w:rPr>
              <w:lastRenderedPageBreak/>
              <w:drawing>
                <wp:inline distT="0" distB="0" distL="0" distR="0" wp14:anchorId="78ABB10C" wp14:editId="6DB40B79">
                  <wp:extent cx="1614146" cy="2311717"/>
                  <wp:effectExtent l="19050" t="19050" r="24765" b="12700"/>
                  <wp:docPr id="11" name="Picture 11" descr="p_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_1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1870" cy="2394387"/>
                          </a:xfrm>
                          <a:prstGeom prst="rect">
                            <a:avLst/>
                          </a:prstGeom>
                          <a:noFill/>
                          <a:ln>
                            <a:solidFill>
                              <a:schemeClr val="tx1"/>
                            </a:solidFill>
                          </a:ln>
                          <a:extLst/>
                        </pic:spPr>
                      </pic:pic>
                    </a:graphicData>
                  </a:graphic>
                </wp:inline>
              </w:drawing>
            </w:r>
          </w:p>
        </w:tc>
        <w:tc>
          <w:tcPr>
            <w:tcW w:w="6385" w:type="dxa"/>
          </w:tcPr>
          <w:p w:rsidR="00A46124" w:rsidRDefault="00A46124" w:rsidP="00B3447F">
            <w:pPr>
              <w:jc w:val="both"/>
              <w:rPr>
                <w:lang w:val="pt-PT"/>
              </w:rPr>
            </w:pPr>
            <w:r w:rsidRPr="00A46124">
              <w:rPr>
                <w:noProof/>
                <w:lang w:val="pt-PT" w:eastAsia="pt-PT"/>
              </w:rPr>
              <w:drawing>
                <wp:anchor distT="0" distB="0" distL="114300" distR="114300" simplePos="0" relativeHeight="251658240" behindDoc="0" locked="0" layoutInCell="1" allowOverlap="1">
                  <wp:simplePos x="0" y="0"/>
                  <wp:positionH relativeFrom="column">
                    <wp:posOffset>-184467</wp:posOffset>
                  </wp:positionH>
                  <wp:positionV relativeFrom="paragraph">
                    <wp:posOffset>19050</wp:posOffset>
                  </wp:positionV>
                  <wp:extent cx="4059647" cy="232909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71185" cy="2335713"/>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46124" w:rsidRPr="00CD0A99" w:rsidTr="00A46124">
        <w:tc>
          <w:tcPr>
            <w:tcW w:w="9350" w:type="dxa"/>
            <w:gridSpan w:val="2"/>
          </w:tcPr>
          <w:p w:rsidR="00A46124" w:rsidRDefault="00A46124" w:rsidP="00A46124">
            <w:pPr>
              <w:jc w:val="both"/>
              <w:rPr>
                <w:lang w:val="pt-PT"/>
              </w:rPr>
            </w:pPr>
            <w:r>
              <w:rPr>
                <w:lang w:val="pt-PT"/>
              </w:rPr>
              <w:t>Figura 2 – Classificação das partículas em função do nível de penetração no sistema respiratório</w:t>
            </w:r>
          </w:p>
        </w:tc>
      </w:tr>
    </w:tbl>
    <w:p w:rsidR="000151EB" w:rsidRDefault="000151EB" w:rsidP="00B3447F">
      <w:pPr>
        <w:jc w:val="both"/>
        <w:rPr>
          <w:lang w:val="pt-PT"/>
        </w:rPr>
      </w:pPr>
    </w:p>
    <w:p w:rsidR="00A46124" w:rsidRDefault="00A46124" w:rsidP="00B3447F">
      <w:pPr>
        <w:jc w:val="both"/>
        <w:rPr>
          <w:lang w:val="pt-PT"/>
        </w:rPr>
      </w:pPr>
      <w:r>
        <w:rPr>
          <w:lang w:val="pt-PT"/>
        </w:rPr>
        <w:t>Em função da sua dimensão, as partículas podem ter comportamento diversos relativamente às suas trajetórias no ar. Esta diversidade de comportamentos resulta dos diferentes balanços entre as forças que atuam sobre as partículas na sua interação com o ar. As principais forças que se consideram a atuar sobre uma partícula no ar são a força da gravidade e a força de arrasto aerodinâmico. A relação entre estes dois tipos de forças é diferente conforme a ordem de grandeza das partículas</w:t>
      </w:r>
      <w:r w:rsidR="00A67EC0">
        <w:rPr>
          <w:lang w:val="pt-PT"/>
        </w:rPr>
        <w:t xml:space="preserve">, acontecendo que, para diâmetros equivalentes da partícula menores do que 10 </w:t>
      </w:r>
      <w:r w:rsidR="00A67EC0" w:rsidRPr="00A67EC0">
        <w:rPr>
          <w:rFonts w:ascii="Symbol" w:hAnsi="Symbol"/>
          <w:lang w:val="pt-PT"/>
        </w:rPr>
        <w:t></w:t>
      </w:r>
      <w:r w:rsidR="00A67EC0">
        <w:rPr>
          <w:lang w:val="pt-PT"/>
        </w:rPr>
        <w:t>m, as forças de arrasto aerodinâmico são mais importantes do que as forças da gravidade</w:t>
      </w:r>
      <w:r w:rsidR="00BE5F82">
        <w:rPr>
          <w:lang w:val="pt-PT"/>
        </w:rPr>
        <w:t xml:space="preserve"> (</w:t>
      </w:r>
      <w:r w:rsidR="00C962D1">
        <w:rPr>
          <w:lang w:val="pt-PT"/>
        </w:rPr>
        <w:t>o</w:t>
      </w:r>
      <w:r w:rsidR="00A67EC0">
        <w:rPr>
          <w:lang w:val="pt-PT"/>
        </w:rPr>
        <w:t xml:space="preserve"> peso da partícula</w:t>
      </w:r>
      <w:r w:rsidR="00C962D1">
        <w:rPr>
          <w:lang w:val="pt-PT"/>
        </w:rPr>
        <w:t>)</w:t>
      </w:r>
      <w:r w:rsidR="00A67EC0">
        <w:rPr>
          <w:lang w:val="pt-PT"/>
        </w:rPr>
        <w:t>, e, sendo assim a partícula flutua, seguindo as linhas de corrente do escoamento, de uma forma similar ao que acontece com um surfista quando surfa uma onda. No caso de partículas de maior dimensão, a sua trajetória é normalmente parabólica, indo as mesmas depositar-se no chão ou noutras superfícies, porque a força da gravidade, devido ao seu peso, é maior do que a componente vertical da força de natureza aerodinâmica. A maior ou menor distância percorrida na horizontal pelas partículas dependerá da sua dimensão, do campo de velocidades do escoamento e também da sua velocidade inicial. Estes diferentes tipos de comportamento estão representados na figura 3.</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151EB" w:rsidTr="000151EB">
        <w:tc>
          <w:tcPr>
            <w:tcW w:w="9350" w:type="dxa"/>
          </w:tcPr>
          <w:p w:rsidR="000151EB" w:rsidRDefault="00CE4B32" w:rsidP="00B3447F">
            <w:pPr>
              <w:jc w:val="both"/>
              <w:rPr>
                <w:lang w:val="pt-PT"/>
              </w:rPr>
            </w:pPr>
            <w:r w:rsidRPr="00CE4B32">
              <w:rPr>
                <w:noProof/>
                <w:lang w:val="pt-PT" w:eastAsia="pt-PT"/>
              </w:rPr>
              <w:drawing>
                <wp:inline distT="0" distB="0" distL="0" distR="0" wp14:anchorId="7E47D0EE" wp14:editId="24272B01">
                  <wp:extent cx="5346719" cy="253365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66824" cy="2543177"/>
                          </a:xfrm>
                          <a:prstGeom prst="rect">
                            <a:avLst/>
                          </a:prstGeom>
                          <a:noFill/>
                          <a:ln>
                            <a:noFill/>
                          </a:ln>
                        </pic:spPr>
                      </pic:pic>
                    </a:graphicData>
                  </a:graphic>
                </wp:inline>
              </w:drawing>
            </w:r>
          </w:p>
        </w:tc>
      </w:tr>
      <w:tr w:rsidR="000151EB" w:rsidRPr="00CD0A99" w:rsidTr="000151EB">
        <w:tc>
          <w:tcPr>
            <w:tcW w:w="9350" w:type="dxa"/>
          </w:tcPr>
          <w:p w:rsidR="000151EB" w:rsidRDefault="000151EB" w:rsidP="000151EB">
            <w:pPr>
              <w:jc w:val="both"/>
              <w:rPr>
                <w:lang w:val="pt-PT"/>
              </w:rPr>
            </w:pPr>
            <w:r>
              <w:rPr>
                <w:lang w:val="pt-PT"/>
              </w:rPr>
              <w:t>Figura 3 - Trajetórias típicas das partículas no ar, em função do seu tamanho</w:t>
            </w:r>
          </w:p>
        </w:tc>
      </w:tr>
    </w:tbl>
    <w:p w:rsidR="000151EB" w:rsidRDefault="000151EB" w:rsidP="00B3447F">
      <w:pPr>
        <w:jc w:val="both"/>
        <w:rPr>
          <w:lang w:val="pt-PT"/>
        </w:rPr>
      </w:pPr>
      <w:r>
        <w:rPr>
          <w:lang w:val="pt-PT"/>
        </w:rPr>
        <w:lastRenderedPageBreak/>
        <w:t xml:space="preserve">A justificação para o que foi descrito anteriormente, resulta do facto de o coeficiente de resistência aerodinâmica de um corpo de forma esférica não ser constante, em função de um coeficiente </w:t>
      </w:r>
      <w:proofErr w:type="spellStart"/>
      <w:r w:rsidRPr="002E69BA">
        <w:rPr>
          <w:lang w:val="pt-PT"/>
        </w:rPr>
        <w:t>adimensional</w:t>
      </w:r>
      <w:proofErr w:type="spellEnd"/>
      <w:r w:rsidRPr="002E69BA">
        <w:rPr>
          <w:lang w:val="pt-PT"/>
        </w:rPr>
        <w:t xml:space="preserve"> chamado</w:t>
      </w:r>
      <w:r>
        <w:rPr>
          <w:lang w:val="pt-PT"/>
        </w:rPr>
        <w:t xml:space="preserve"> número de Reynolds</w:t>
      </w:r>
      <w:r w:rsidR="00A40D8C">
        <w:rPr>
          <w:lang w:val="pt-PT"/>
        </w:rPr>
        <w:t>. Este coeficiente</w:t>
      </w:r>
      <w:r>
        <w:rPr>
          <w:lang w:val="pt-PT"/>
        </w:rPr>
        <w:t xml:space="preserve"> representa a relação entre as forças de pressão e as forças viscosas que se originam na interação de um corpo com um fluido</w:t>
      </w:r>
      <w:r w:rsidR="00A40D8C">
        <w:rPr>
          <w:lang w:val="pt-PT"/>
        </w:rPr>
        <w:t xml:space="preserve"> e no seu cálculo uma das variáveis é uma dimensão geométrica característica do corpo, neste caso o diâmetro. Assim, no gráfico que se apresenta na figura 4, se tivermos duas partículas de diâmetros diferentes s</w:t>
      </w:r>
      <w:r w:rsidR="008878E3">
        <w:rPr>
          <w:lang w:val="pt-PT"/>
        </w:rPr>
        <w:t>ujeitas à ação do mesmo fluido</w:t>
      </w:r>
      <w:r w:rsidR="00A40D8C">
        <w:rPr>
          <w:lang w:val="pt-PT"/>
        </w:rPr>
        <w:t>, a partícula de menor dimensão estará mais à esquerda, com um coeficiente de resistência mais elevado e a partícula de maior dimensão estará mais para direita, com um valor mais baixo do coeficiente de resistência. Isso terá como consequência que a partícula mais pequena será mais arrastada e seguirá mais facilmente as correntes de ar, pelo que se classifica como uma partícula em suspensão, enquanto a partícula maior ao fim de algum se depositará porque o seu peso é a força dominante e fá-la cair.</w:t>
      </w:r>
    </w:p>
    <w:p w:rsidR="00F8327F" w:rsidRDefault="00F8327F" w:rsidP="00B3447F">
      <w:pPr>
        <w:jc w:val="both"/>
        <w:rPr>
          <w:lang w:val="pt-PT"/>
        </w:rPr>
      </w:pPr>
      <w:r>
        <w:rPr>
          <w:lang w:val="pt-PT"/>
        </w:rPr>
        <w:t>A zona em que se passam os fenómenos típicos que ocorrem com as partículas nos escoamentos de ventilação natural ou de ventilação mecânica no interior dos edifícios está assinalada, no lado esquerdo do gráfico, pela elipse vermelha a tracejado.</w:t>
      </w:r>
    </w:p>
    <w:p w:rsidR="00F8327F" w:rsidRDefault="00F8327F" w:rsidP="00B3447F">
      <w:pPr>
        <w:jc w:val="both"/>
        <w:rPr>
          <w:lang w:val="pt-PT"/>
        </w:rPr>
      </w:pPr>
      <w:r>
        <w:rPr>
          <w:lang w:val="pt-PT"/>
        </w:rPr>
        <w:t>A título de curiosidade, a diferença entre o comportamento de corpos com superfície lisa ou rugosa, para a zona do número de Reynolds, na gama de 10</w:t>
      </w:r>
      <w:r w:rsidRPr="00935EF3">
        <w:rPr>
          <w:vertAlign w:val="superscript"/>
          <w:lang w:val="pt-PT"/>
        </w:rPr>
        <w:t>5</w:t>
      </w:r>
      <w:r>
        <w:rPr>
          <w:lang w:val="pt-PT"/>
        </w:rPr>
        <w:t xml:space="preserve"> a 10</w:t>
      </w:r>
      <w:r w:rsidRPr="00935EF3">
        <w:rPr>
          <w:vertAlign w:val="superscript"/>
          <w:lang w:val="pt-PT"/>
        </w:rPr>
        <w:t>6</w:t>
      </w:r>
      <w:r>
        <w:rPr>
          <w:lang w:val="pt-PT"/>
        </w:rPr>
        <w:t>, é o que justifica o facto de as bolas de golfe terem uma superfície com protuberâncias. Essa rugosidade faz que a ocorrência do chamado regime crítico</w:t>
      </w:r>
      <w:r w:rsidR="00935EF3">
        <w:rPr>
          <w:lang w:val="pt-PT"/>
        </w:rPr>
        <w:t xml:space="preserve"> que corresponde a uma diminuição abrupta do valor do coeficiente de resistência ocorra mais cedo</w:t>
      </w:r>
      <w:r w:rsidR="008878E3">
        <w:rPr>
          <w:lang w:val="pt-PT"/>
        </w:rPr>
        <w:t>,</w:t>
      </w:r>
      <w:r w:rsidR="00935EF3">
        <w:rPr>
          <w:lang w:val="pt-PT"/>
        </w:rPr>
        <w:t xml:space="preserve"> o que permite que a bola percorra distâncias maiores.</w:t>
      </w:r>
    </w:p>
    <w:p w:rsidR="00935EF3" w:rsidRDefault="00935EF3" w:rsidP="00B3447F">
      <w:pPr>
        <w:jc w:val="both"/>
        <w:rPr>
          <w:lang w:val="pt-PT"/>
        </w:rPr>
      </w:pPr>
      <w:r>
        <w:rPr>
          <w:lang w:val="pt-PT"/>
        </w:rPr>
        <w:t xml:space="preserve">Também é este gráfico que explica a razão </w:t>
      </w:r>
      <w:r w:rsidR="0058010B" w:rsidRPr="002E69BA">
        <w:rPr>
          <w:lang w:val="pt-PT"/>
        </w:rPr>
        <w:t>por que</w:t>
      </w:r>
      <w:r>
        <w:rPr>
          <w:lang w:val="pt-PT"/>
        </w:rPr>
        <w:t xml:space="preserve"> as moléculas de vapor de água nas nuvens permanecem em suspensão e também a ocorrência de chuva devido à condensação dessas moléculas e ao aparecimento de gotas que coalescem e ganham dimensão para que a força da gravidade passe a ser dominante.</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8327F" w:rsidTr="00935EF3">
        <w:tc>
          <w:tcPr>
            <w:tcW w:w="9350" w:type="dxa"/>
          </w:tcPr>
          <w:p w:rsidR="00F8327F" w:rsidRDefault="00935EF3" w:rsidP="00B3447F">
            <w:pPr>
              <w:jc w:val="both"/>
              <w:rPr>
                <w:lang w:val="pt-PT"/>
              </w:rPr>
            </w:pPr>
            <w:r w:rsidRPr="00935EF3">
              <w:rPr>
                <w:noProof/>
                <w:lang w:val="pt-PT" w:eastAsia="pt-PT"/>
              </w:rPr>
              <w:drawing>
                <wp:inline distT="0" distB="0" distL="0" distR="0">
                  <wp:extent cx="5939155" cy="269113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9155" cy="2691130"/>
                          </a:xfrm>
                          <a:prstGeom prst="rect">
                            <a:avLst/>
                          </a:prstGeom>
                          <a:noFill/>
                          <a:ln>
                            <a:noFill/>
                          </a:ln>
                        </pic:spPr>
                      </pic:pic>
                    </a:graphicData>
                  </a:graphic>
                </wp:inline>
              </w:drawing>
            </w:r>
          </w:p>
        </w:tc>
      </w:tr>
      <w:tr w:rsidR="00F8327F" w:rsidRPr="00CD0A99" w:rsidTr="00935EF3">
        <w:tc>
          <w:tcPr>
            <w:tcW w:w="9350" w:type="dxa"/>
          </w:tcPr>
          <w:p w:rsidR="00F8327F" w:rsidRDefault="00935EF3" w:rsidP="00CB7359">
            <w:pPr>
              <w:jc w:val="both"/>
              <w:rPr>
                <w:lang w:val="pt-PT"/>
              </w:rPr>
            </w:pPr>
            <w:r>
              <w:rPr>
                <w:lang w:val="pt-PT"/>
              </w:rPr>
              <w:t>Figura 4 – Coeficiente de resistência aerodinâmica em função do N</w:t>
            </w:r>
            <w:r w:rsidR="00CB7359">
              <w:rPr>
                <w:lang w:val="pt-PT"/>
              </w:rPr>
              <w:t xml:space="preserve">úmero </w:t>
            </w:r>
            <w:r>
              <w:rPr>
                <w:lang w:val="pt-PT"/>
              </w:rPr>
              <w:t>de Reynolds para uma esfera</w:t>
            </w:r>
          </w:p>
        </w:tc>
      </w:tr>
    </w:tbl>
    <w:p w:rsidR="00F8327F" w:rsidRDefault="00F8327F" w:rsidP="00B3447F">
      <w:pPr>
        <w:jc w:val="both"/>
        <w:rPr>
          <w:lang w:val="pt-PT"/>
        </w:rPr>
      </w:pPr>
    </w:p>
    <w:p w:rsidR="00A67EC0" w:rsidRDefault="00A67EC0" w:rsidP="00B3447F">
      <w:pPr>
        <w:jc w:val="both"/>
        <w:rPr>
          <w:lang w:val="pt-PT"/>
        </w:rPr>
      </w:pPr>
    </w:p>
    <w:p w:rsidR="00CB7359" w:rsidRPr="001F708D" w:rsidRDefault="00CD0A99" w:rsidP="00B3447F">
      <w:pPr>
        <w:jc w:val="both"/>
        <w:rPr>
          <w:b/>
          <w:lang w:val="pt-PT"/>
        </w:rPr>
      </w:pPr>
      <w:bookmarkStart w:id="0" w:name="_GoBack"/>
      <w:r>
        <w:rPr>
          <w:b/>
          <w:lang w:val="pt-PT"/>
        </w:rPr>
        <w:lastRenderedPageBreak/>
        <w:t>Corona</w:t>
      </w:r>
      <w:bookmarkEnd w:id="0"/>
      <w:r>
        <w:rPr>
          <w:b/>
          <w:lang w:val="pt-PT"/>
        </w:rPr>
        <w:t>ví</w:t>
      </w:r>
      <w:r w:rsidRPr="001F708D">
        <w:rPr>
          <w:b/>
          <w:lang w:val="pt-PT"/>
        </w:rPr>
        <w:t>rus</w:t>
      </w:r>
      <w:r w:rsidR="00CB7359" w:rsidRPr="001F708D">
        <w:rPr>
          <w:b/>
          <w:lang w:val="pt-PT"/>
        </w:rPr>
        <w:t xml:space="preserve"> 2 (SARS-CoV-2) </w:t>
      </w:r>
      <w:r w:rsidR="001F708D" w:rsidRPr="001F708D">
        <w:rPr>
          <w:b/>
          <w:lang w:val="pt-PT"/>
        </w:rPr>
        <w:t xml:space="preserve">e </w:t>
      </w:r>
      <w:r w:rsidR="00CB7359" w:rsidRPr="001F708D">
        <w:rPr>
          <w:b/>
          <w:lang w:val="pt-PT"/>
        </w:rPr>
        <w:t>Mod</w:t>
      </w:r>
      <w:r w:rsidR="001F708D" w:rsidRPr="001F708D">
        <w:rPr>
          <w:b/>
          <w:lang w:val="pt-PT"/>
        </w:rPr>
        <w:t>os</w:t>
      </w:r>
      <w:r w:rsidR="00CB7359" w:rsidRPr="001F708D">
        <w:rPr>
          <w:b/>
          <w:lang w:val="pt-PT"/>
        </w:rPr>
        <w:t xml:space="preserve"> </w:t>
      </w:r>
      <w:r w:rsidR="001F708D">
        <w:rPr>
          <w:b/>
          <w:lang w:val="pt-PT"/>
        </w:rPr>
        <w:t>de</w:t>
      </w:r>
      <w:r w:rsidR="00CB7359" w:rsidRPr="001F708D">
        <w:rPr>
          <w:b/>
          <w:lang w:val="pt-PT"/>
        </w:rPr>
        <w:t xml:space="preserve"> </w:t>
      </w:r>
      <w:r w:rsidR="001F708D">
        <w:rPr>
          <w:b/>
          <w:lang w:val="pt-PT"/>
        </w:rPr>
        <w:t xml:space="preserve">Transmissão </w:t>
      </w:r>
    </w:p>
    <w:p w:rsidR="00651BF8" w:rsidRPr="001F708D" w:rsidRDefault="001F708D" w:rsidP="00B3447F">
      <w:pPr>
        <w:jc w:val="both"/>
        <w:rPr>
          <w:lang w:val="pt-PT"/>
        </w:rPr>
      </w:pPr>
      <w:r w:rsidRPr="001F708D">
        <w:rPr>
          <w:lang w:val="pt-PT"/>
        </w:rPr>
        <w:t>O</w:t>
      </w:r>
      <w:r w:rsidR="00CD0A99">
        <w:rPr>
          <w:lang w:val="pt-PT"/>
        </w:rPr>
        <w:t xml:space="preserve"> coronav</w:t>
      </w:r>
      <w:r w:rsidR="00CD0A99" w:rsidRPr="001F708D">
        <w:rPr>
          <w:lang w:val="pt-PT"/>
        </w:rPr>
        <w:t>írus</w:t>
      </w:r>
      <w:r w:rsidR="00CB7359" w:rsidRPr="001F708D">
        <w:rPr>
          <w:lang w:val="pt-PT"/>
        </w:rPr>
        <w:t xml:space="preserve"> 2 (SARS-CoV-2)</w:t>
      </w:r>
      <w:r>
        <w:rPr>
          <w:lang w:val="pt-PT"/>
        </w:rPr>
        <w:t xml:space="preserve">, habitualmente designado como COVID-19, </w:t>
      </w:r>
      <w:r w:rsidRPr="001F708D">
        <w:rPr>
          <w:lang w:val="pt-PT"/>
        </w:rPr>
        <w:t>tem uma forma esferoide</w:t>
      </w:r>
      <w:r w:rsidR="00CB7359" w:rsidRPr="001F708D">
        <w:rPr>
          <w:lang w:val="pt-PT"/>
        </w:rPr>
        <w:t xml:space="preserve">, </w:t>
      </w:r>
      <w:r w:rsidRPr="001F708D">
        <w:rPr>
          <w:lang w:val="pt-PT"/>
        </w:rPr>
        <w:t>com di</w:t>
      </w:r>
      <w:r>
        <w:rPr>
          <w:lang w:val="pt-PT"/>
        </w:rPr>
        <w:t>âmetros no intervalo de</w:t>
      </w:r>
      <w:r w:rsidR="00CB7359" w:rsidRPr="001F708D">
        <w:rPr>
          <w:lang w:val="pt-PT"/>
        </w:rPr>
        <w:t xml:space="preserve"> 80 </w:t>
      </w:r>
      <w:r>
        <w:rPr>
          <w:lang w:val="pt-PT"/>
        </w:rPr>
        <w:t>a</w:t>
      </w:r>
      <w:r w:rsidR="00CB7359" w:rsidRPr="001F708D">
        <w:rPr>
          <w:lang w:val="pt-PT"/>
        </w:rPr>
        <w:t xml:space="preserve"> 1</w:t>
      </w:r>
      <w:r w:rsidR="00651BF8" w:rsidRPr="001F708D">
        <w:rPr>
          <w:lang w:val="pt-PT"/>
        </w:rPr>
        <w:t xml:space="preserve">40 </w:t>
      </w:r>
      <w:proofErr w:type="spellStart"/>
      <w:r w:rsidR="00651BF8" w:rsidRPr="001F708D">
        <w:rPr>
          <w:lang w:val="pt-PT"/>
        </w:rPr>
        <w:t>nm</w:t>
      </w:r>
      <w:proofErr w:type="spellEnd"/>
      <w:r w:rsidR="00651BF8" w:rsidRPr="001F708D">
        <w:rPr>
          <w:lang w:val="pt-PT"/>
        </w:rPr>
        <w:t xml:space="preserve"> (</w:t>
      </w:r>
      <w:r w:rsidR="00651BF8" w:rsidRPr="001F708D">
        <w:rPr>
          <w:rFonts w:cstheme="minorHAnsi"/>
          <w:lang w:val="pt-PT"/>
        </w:rPr>
        <w:t>≈</w:t>
      </w:r>
      <w:r w:rsidR="00651BF8" w:rsidRPr="001F708D">
        <w:rPr>
          <w:lang w:val="pt-PT"/>
        </w:rPr>
        <w:t xml:space="preserve">0.1 </w:t>
      </w:r>
      <w:r w:rsidR="00651BF8" w:rsidRPr="00651BF8">
        <w:rPr>
          <w:rFonts w:ascii="Symbol" w:hAnsi="Symbol"/>
        </w:rPr>
        <w:t></w:t>
      </w:r>
      <w:r w:rsidR="00651BF8" w:rsidRPr="001F708D">
        <w:rPr>
          <w:lang w:val="pt-PT"/>
        </w:rPr>
        <w:t xml:space="preserve">m). </w:t>
      </w:r>
      <w:r w:rsidRPr="001F708D">
        <w:rPr>
          <w:lang w:val="pt-PT"/>
        </w:rPr>
        <w:t>Na figura</w:t>
      </w:r>
      <w:r w:rsidR="00651BF8" w:rsidRPr="001F708D">
        <w:rPr>
          <w:lang w:val="pt-PT"/>
        </w:rPr>
        <w:t xml:space="preserve"> 5, </w:t>
      </w:r>
      <w:r w:rsidRPr="001F708D">
        <w:rPr>
          <w:lang w:val="pt-PT"/>
        </w:rPr>
        <w:t xml:space="preserve">é apresentada uma comparação das </w:t>
      </w:r>
      <w:r>
        <w:rPr>
          <w:lang w:val="pt-PT"/>
        </w:rPr>
        <w:t xml:space="preserve">suas </w:t>
      </w:r>
      <w:r w:rsidRPr="001F708D">
        <w:rPr>
          <w:lang w:val="pt-PT"/>
        </w:rPr>
        <w:t>dimens</w:t>
      </w:r>
      <w:r>
        <w:rPr>
          <w:lang w:val="pt-PT"/>
        </w:rPr>
        <w:t>ões com algumas das classes habitualmente usadas para matéria particulada em suspensão</w:t>
      </w:r>
      <w:r w:rsidR="00651BF8" w:rsidRPr="001F708D">
        <w:rPr>
          <w:lang w:val="pt-PT"/>
        </w:rPr>
        <w:t>.</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51BF8" w:rsidTr="00465593">
        <w:tc>
          <w:tcPr>
            <w:tcW w:w="9350" w:type="dxa"/>
          </w:tcPr>
          <w:p w:rsidR="00651BF8" w:rsidRDefault="001F708D" w:rsidP="00B3447F">
            <w:pPr>
              <w:jc w:val="both"/>
            </w:pPr>
            <w:r w:rsidRPr="001F708D">
              <w:rPr>
                <w:noProof/>
                <w:lang w:val="pt-PT" w:eastAsia="pt-PT"/>
              </w:rPr>
              <w:drawing>
                <wp:inline distT="0" distB="0" distL="0" distR="0" wp14:anchorId="513C35F8" wp14:editId="0DEF4EFA">
                  <wp:extent cx="5754360" cy="45294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8489" cy="4532705"/>
                          </a:xfrm>
                          <a:prstGeom prst="rect">
                            <a:avLst/>
                          </a:prstGeom>
                          <a:noFill/>
                          <a:ln>
                            <a:noFill/>
                          </a:ln>
                        </pic:spPr>
                      </pic:pic>
                    </a:graphicData>
                  </a:graphic>
                </wp:inline>
              </w:drawing>
            </w:r>
          </w:p>
        </w:tc>
      </w:tr>
      <w:tr w:rsidR="00651BF8" w:rsidRPr="00CD0A99" w:rsidTr="00465593">
        <w:tc>
          <w:tcPr>
            <w:tcW w:w="9350" w:type="dxa"/>
          </w:tcPr>
          <w:p w:rsidR="00465593" w:rsidRDefault="00465593" w:rsidP="00465593">
            <w:pPr>
              <w:jc w:val="both"/>
            </w:pPr>
          </w:p>
          <w:p w:rsidR="00651BF8" w:rsidRPr="001F708D" w:rsidRDefault="00651BF8" w:rsidP="001F708D">
            <w:pPr>
              <w:jc w:val="both"/>
              <w:rPr>
                <w:lang w:val="pt-PT"/>
              </w:rPr>
            </w:pPr>
            <w:r w:rsidRPr="001F708D">
              <w:rPr>
                <w:lang w:val="pt-PT"/>
              </w:rPr>
              <w:t xml:space="preserve">Figure 5 – </w:t>
            </w:r>
            <w:r w:rsidR="001F708D" w:rsidRPr="001F708D">
              <w:rPr>
                <w:lang w:val="pt-PT"/>
              </w:rPr>
              <w:t>Comparação das dimensões do</w:t>
            </w:r>
            <w:r w:rsidRPr="001F708D">
              <w:rPr>
                <w:lang w:val="pt-PT"/>
              </w:rPr>
              <w:t xml:space="preserve"> COVID-19 </w:t>
            </w:r>
            <w:r w:rsidR="001F708D" w:rsidRPr="001F708D">
              <w:rPr>
                <w:lang w:val="pt-PT"/>
              </w:rPr>
              <w:t>c</w:t>
            </w:r>
            <w:r w:rsidR="001F708D">
              <w:rPr>
                <w:lang w:val="pt-PT"/>
              </w:rPr>
              <w:t>om algumas classes da matéria particulada</w:t>
            </w:r>
          </w:p>
        </w:tc>
      </w:tr>
    </w:tbl>
    <w:p w:rsidR="00CB7359" w:rsidRDefault="00CB7359" w:rsidP="00B3447F">
      <w:pPr>
        <w:jc w:val="both"/>
        <w:rPr>
          <w:lang w:val="pt-PT"/>
        </w:rPr>
      </w:pPr>
    </w:p>
    <w:p w:rsidR="00AF57E6" w:rsidRDefault="00C632AA" w:rsidP="00CE4B32">
      <w:pPr>
        <w:jc w:val="both"/>
        <w:rPr>
          <w:lang w:val="pt-PT"/>
        </w:rPr>
      </w:pPr>
      <w:r w:rsidRPr="00C632AA">
        <w:rPr>
          <w:lang w:val="pt-PT"/>
        </w:rPr>
        <w:t>Existem três modos possíveis de transmissão</w:t>
      </w:r>
      <w:r>
        <w:rPr>
          <w:lang w:val="pt-PT"/>
        </w:rPr>
        <w:t xml:space="preserve"> a partir de elementos patogénicos que tenham sido expelidos no processo respiratório de pessoas infetadas:</w:t>
      </w:r>
      <w:r w:rsidRPr="00C632AA">
        <w:rPr>
          <w:lang w:val="pt-PT"/>
        </w:rPr>
        <w:t xml:space="preserve"> infeção por </w:t>
      </w:r>
      <w:r>
        <w:rPr>
          <w:lang w:val="pt-PT"/>
        </w:rPr>
        <w:t>partículas em suspensão (</w:t>
      </w:r>
      <w:proofErr w:type="spellStart"/>
      <w:r>
        <w:rPr>
          <w:lang w:val="pt-PT"/>
        </w:rPr>
        <w:t>bioaerossóis</w:t>
      </w:r>
      <w:proofErr w:type="spellEnd"/>
      <w:r>
        <w:rPr>
          <w:lang w:val="pt-PT"/>
        </w:rPr>
        <w:t xml:space="preserve">), </w:t>
      </w:r>
      <w:r w:rsidRPr="00C632AA">
        <w:rPr>
          <w:lang w:val="pt-PT"/>
        </w:rPr>
        <w:t>por got</w:t>
      </w:r>
      <w:r>
        <w:rPr>
          <w:lang w:val="pt-PT"/>
        </w:rPr>
        <w:t>as</w:t>
      </w:r>
      <w:r w:rsidRPr="00C632AA">
        <w:rPr>
          <w:lang w:val="pt-PT"/>
        </w:rPr>
        <w:t xml:space="preserve"> e por </w:t>
      </w:r>
      <w:proofErr w:type="gramStart"/>
      <w:r w:rsidRPr="00C632AA">
        <w:rPr>
          <w:lang w:val="pt-PT"/>
        </w:rPr>
        <w:t xml:space="preserve">contato. </w:t>
      </w:r>
      <w:r>
        <w:rPr>
          <w:lang w:val="pt-PT"/>
        </w:rPr>
        <w:t xml:space="preserve"> </w:t>
      </w:r>
      <w:proofErr w:type="gramEnd"/>
      <w:r>
        <w:rPr>
          <w:lang w:val="pt-PT"/>
        </w:rPr>
        <w:t>Na figura 6, transcreve-se uma figura</w:t>
      </w:r>
      <w:r w:rsidRPr="00C632AA">
        <w:rPr>
          <w:lang w:val="pt-PT"/>
        </w:rPr>
        <w:t xml:space="preserve"> adaptada de </w:t>
      </w:r>
      <w:r>
        <w:rPr>
          <w:lang w:val="pt-PT"/>
        </w:rPr>
        <w:t xml:space="preserve">um </w:t>
      </w:r>
      <w:r w:rsidRPr="00C632AA">
        <w:rPr>
          <w:lang w:val="pt-PT"/>
        </w:rPr>
        <w:t>folheto do Gabinete do Primeiro Ministro e do Ministério da Saúde, do Trabalho e do Bem-Estar do Japão</w:t>
      </w:r>
      <w:r>
        <w:rPr>
          <w:lang w:val="pt-PT"/>
        </w:rPr>
        <w:t xml:space="preserve">, recentemente publicada num </w:t>
      </w:r>
      <w:proofErr w:type="spellStart"/>
      <w:r>
        <w:rPr>
          <w:lang w:val="pt-PT"/>
        </w:rPr>
        <w:t>Position</w:t>
      </w:r>
      <w:proofErr w:type="spellEnd"/>
      <w:r>
        <w:rPr>
          <w:lang w:val="pt-PT"/>
        </w:rPr>
        <w:t xml:space="preserve"> </w:t>
      </w:r>
      <w:proofErr w:type="spellStart"/>
      <w:r>
        <w:rPr>
          <w:lang w:val="pt-PT"/>
        </w:rPr>
        <w:t>Paper</w:t>
      </w:r>
      <w:proofErr w:type="spellEnd"/>
      <w:r>
        <w:rPr>
          <w:lang w:val="pt-PT"/>
        </w:rPr>
        <w:t xml:space="preserve"> conjunto da </w:t>
      </w:r>
      <w:r w:rsidRPr="007A69CC">
        <w:rPr>
          <w:lang w:val="pt-PT"/>
        </w:rPr>
        <w:t>Sociedade de Engenh</w:t>
      </w:r>
      <w:r>
        <w:rPr>
          <w:lang w:val="pt-PT"/>
        </w:rPr>
        <w:t>aria</w:t>
      </w:r>
      <w:r w:rsidRPr="007A69CC">
        <w:rPr>
          <w:lang w:val="pt-PT"/>
        </w:rPr>
        <w:t xml:space="preserve"> de Aquecimen</w:t>
      </w:r>
      <w:r>
        <w:rPr>
          <w:lang w:val="pt-PT"/>
        </w:rPr>
        <w:t>to, Ar Condicionado e Sanitária</w:t>
      </w:r>
      <w:r w:rsidRPr="007A69CC">
        <w:rPr>
          <w:lang w:val="pt-PT"/>
        </w:rPr>
        <w:t xml:space="preserve"> do Japão (SHASE) </w:t>
      </w:r>
      <w:r>
        <w:rPr>
          <w:lang w:val="pt-PT"/>
        </w:rPr>
        <w:t xml:space="preserve">e do </w:t>
      </w:r>
      <w:r w:rsidRPr="00C632AA">
        <w:rPr>
          <w:lang w:val="pt-PT"/>
        </w:rPr>
        <w:t>Instituto de Arquitetura do Japão (AIJ)</w:t>
      </w:r>
      <w:r>
        <w:rPr>
          <w:lang w:val="pt-PT"/>
        </w:rPr>
        <w:t xml:space="preserve">, em que se ilustram os modos de transmissão anteriormente referidos. </w:t>
      </w:r>
      <w:r w:rsidR="00A90AFC">
        <w:rPr>
          <w:lang w:val="pt-PT"/>
        </w:rPr>
        <w:t xml:space="preserve">Na origem da emissão das gotas a partir do indivíduo infetado podem estar diferentes processos, como </w:t>
      </w:r>
      <w:r w:rsidR="00AF57E6">
        <w:rPr>
          <w:lang w:val="pt-PT"/>
        </w:rPr>
        <w:t>tossir, espirrar, vomitar, falar e respirar, sendo naturalmente diferentes as quantidades e as distribuições por classes de dimensão das partículas exaladas</w:t>
      </w:r>
      <w:r w:rsidR="008878E3">
        <w:rPr>
          <w:lang w:val="pt-PT"/>
        </w:rPr>
        <w:t>,</w:t>
      </w:r>
      <w:r w:rsidR="00AF57E6">
        <w:rPr>
          <w:lang w:val="pt-PT"/>
        </w:rPr>
        <w:t xml:space="preserve"> conforme o processo.</w:t>
      </w:r>
    </w:p>
    <w:p w:rsidR="00CE4B32" w:rsidRDefault="00906460" w:rsidP="00CE4B32">
      <w:pPr>
        <w:jc w:val="both"/>
        <w:rPr>
          <w:lang w:val="pt-PT"/>
        </w:rPr>
      </w:pPr>
      <w:r>
        <w:rPr>
          <w:lang w:val="pt-PT"/>
        </w:rPr>
        <w:lastRenderedPageBreak/>
        <w:t xml:space="preserve">No caso da transmissão a partir de partículas em suspensão, em que as </w:t>
      </w:r>
      <w:r w:rsidR="003E0185">
        <w:rPr>
          <w:lang w:val="pt-PT"/>
        </w:rPr>
        <w:t>mesmas</w:t>
      </w:r>
      <w:r>
        <w:rPr>
          <w:lang w:val="pt-PT"/>
        </w:rPr>
        <w:t xml:space="preserve"> terão dimensões tipicamente inferiores a 10 </w:t>
      </w:r>
      <w:r w:rsidRPr="00906460">
        <w:rPr>
          <w:rFonts w:ascii="Symbol" w:hAnsi="Symbol"/>
          <w:lang w:val="pt-PT"/>
        </w:rPr>
        <w:t></w:t>
      </w:r>
      <w:r>
        <w:rPr>
          <w:lang w:val="pt-PT"/>
        </w:rPr>
        <w:t>m,</w:t>
      </w:r>
      <w:r w:rsidR="003E0185">
        <w:rPr>
          <w:lang w:val="pt-PT"/>
        </w:rPr>
        <w:t xml:space="preserve"> </w:t>
      </w:r>
      <w:r>
        <w:rPr>
          <w:lang w:val="pt-PT"/>
        </w:rPr>
        <w:t xml:space="preserve">o fenómeno normalmente envolve uma evaporação de uma parte substancial da massa de água da gotícula, que fica reduzida ao que se designa por núcleo da gotícula onde poderá </w:t>
      </w:r>
      <w:r w:rsidR="003E0185">
        <w:rPr>
          <w:lang w:val="pt-PT"/>
        </w:rPr>
        <w:t>haver alguns vírus ou bactérias, que poderão ser inalados pelo indivíduo contaminado.</w:t>
      </w:r>
      <w:r w:rsidR="00CE4B32">
        <w:rPr>
          <w:lang w:val="pt-PT"/>
        </w:rPr>
        <w:t xml:space="preserve"> </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E4B32" w:rsidTr="00686C19">
        <w:tc>
          <w:tcPr>
            <w:tcW w:w="9350" w:type="dxa"/>
          </w:tcPr>
          <w:p w:rsidR="00CE4B32" w:rsidRDefault="00CE4B32" w:rsidP="00686C19">
            <w:pPr>
              <w:jc w:val="both"/>
              <w:rPr>
                <w:lang w:val="pt-PT"/>
              </w:rPr>
            </w:pPr>
            <w:r w:rsidRPr="00906460">
              <w:rPr>
                <w:noProof/>
                <w:lang w:val="pt-PT" w:eastAsia="pt-PT"/>
              </w:rPr>
              <w:drawing>
                <wp:inline distT="0" distB="0" distL="0" distR="0" wp14:anchorId="430F2DCE" wp14:editId="385D0430">
                  <wp:extent cx="5939155" cy="293370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9155" cy="2933700"/>
                          </a:xfrm>
                          <a:prstGeom prst="rect">
                            <a:avLst/>
                          </a:prstGeom>
                          <a:noFill/>
                          <a:ln>
                            <a:noFill/>
                          </a:ln>
                        </pic:spPr>
                      </pic:pic>
                    </a:graphicData>
                  </a:graphic>
                </wp:inline>
              </w:drawing>
            </w:r>
          </w:p>
        </w:tc>
      </w:tr>
      <w:tr w:rsidR="00CE4B32" w:rsidRPr="00CD0A99" w:rsidTr="00686C19">
        <w:tc>
          <w:tcPr>
            <w:tcW w:w="9350" w:type="dxa"/>
          </w:tcPr>
          <w:p w:rsidR="00CE4B32" w:rsidRPr="00906460" w:rsidRDefault="00CE4B32" w:rsidP="00686C19">
            <w:pPr>
              <w:jc w:val="both"/>
              <w:rPr>
                <w:lang w:val="pt-PT"/>
              </w:rPr>
            </w:pPr>
            <w:r>
              <w:rPr>
                <w:lang w:val="pt-PT"/>
              </w:rPr>
              <w:t>Figura 6 - Modos de Transmissão a partir de Elementos Patogénicos Exalados (</w:t>
            </w:r>
            <w:r w:rsidRPr="00906460">
              <w:rPr>
                <w:lang w:val="pt-PT"/>
              </w:rPr>
              <w:t xml:space="preserve">adaptada de folheto do Gabinete do Primeiro Ministro e do Ministério da Saúde, do Trabalho e do Bem-Estar do </w:t>
            </w:r>
            <w:r w:rsidRPr="008641D0">
              <w:rPr>
                <w:lang w:val="pt-PT"/>
              </w:rPr>
              <w:t>Japão</w:t>
            </w:r>
            <w:r w:rsidR="005D2B13" w:rsidRPr="008641D0">
              <w:rPr>
                <w:lang w:val="pt-PT"/>
              </w:rPr>
              <w:t xml:space="preserve"> (2020)</w:t>
            </w:r>
            <w:r w:rsidRPr="008641D0">
              <w:rPr>
                <w:lang w:val="pt-PT"/>
              </w:rPr>
              <w:t>)</w:t>
            </w:r>
          </w:p>
          <w:p w:rsidR="00CE4B32" w:rsidRDefault="00CE4B32" w:rsidP="00686C19">
            <w:pPr>
              <w:jc w:val="both"/>
              <w:rPr>
                <w:lang w:val="pt-PT"/>
              </w:rPr>
            </w:pPr>
          </w:p>
        </w:tc>
      </w:tr>
    </w:tbl>
    <w:p w:rsidR="00CE4B32" w:rsidRDefault="005D2B13" w:rsidP="00CE4B32">
      <w:pPr>
        <w:jc w:val="both"/>
        <w:rPr>
          <w:lang w:val="pt-PT"/>
        </w:rPr>
      </w:pPr>
      <w:r>
        <w:rPr>
          <w:lang w:val="pt-PT"/>
        </w:rPr>
        <w:t xml:space="preserve">Na figura 7, apresenta-se uma figura transcrita de </w:t>
      </w:r>
      <w:proofErr w:type="spellStart"/>
      <w:r>
        <w:rPr>
          <w:lang w:val="pt-PT"/>
        </w:rPr>
        <w:t>Morawska</w:t>
      </w:r>
      <w:proofErr w:type="spellEnd"/>
      <w:r>
        <w:rPr>
          <w:lang w:val="pt-PT"/>
        </w:rPr>
        <w:t xml:space="preserve"> (2006) em que se apresentam os tempos de evaporação das gotas de água, em função do seu diâmetro e da humidade relativa do ambiente. As gotículas de menor dimensão (1</w:t>
      </w:r>
      <w:r w:rsidRPr="005D2B13">
        <w:rPr>
          <w:rFonts w:ascii="Symbol" w:hAnsi="Symbol"/>
          <w:lang w:val="pt-PT"/>
        </w:rPr>
        <w:t></w:t>
      </w:r>
      <w:r>
        <w:rPr>
          <w:lang w:val="pt-PT"/>
        </w:rPr>
        <w:t>m) evaporam rapidamente sendo reduzidas ao que se denomina como o núcleo de partícula ou resíduo. No caso de a gota estar contaminada com vírus</w:t>
      </w:r>
      <w:r w:rsidR="00A926B8">
        <w:rPr>
          <w:lang w:val="pt-PT"/>
        </w:rPr>
        <w:t>,</w:t>
      </w:r>
      <w:r>
        <w:rPr>
          <w:lang w:val="pt-PT"/>
        </w:rPr>
        <w:t xml:space="preserve"> serão estes que permanecerão em suspensão, sendo a sua persistência dependente de fatores como a temperatura, a humidade e a componente de radiação ultravioleta existente no local. </w:t>
      </w:r>
      <w:r w:rsidR="00A926B8">
        <w:rPr>
          <w:lang w:val="pt-PT"/>
        </w:rPr>
        <w:t xml:space="preserve">Há um número significativo de estudos sobre a sobrevivência dos vírus no ar, que são também referidos em </w:t>
      </w:r>
      <w:proofErr w:type="spellStart"/>
      <w:r w:rsidR="00A926B8" w:rsidRPr="008641D0">
        <w:rPr>
          <w:lang w:val="pt-PT"/>
        </w:rPr>
        <w:t>Morawska</w:t>
      </w:r>
      <w:proofErr w:type="spellEnd"/>
      <w:r w:rsidR="00A926B8" w:rsidRPr="008641D0">
        <w:rPr>
          <w:lang w:val="pt-PT"/>
        </w:rPr>
        <w:t xml:space="preserve"> (</w:t>
      </w:r>
      <w:r w:rsidR="00A926B8">
        <w:rPr>
          <w:lang w:val="pt-PT"/>
        </w:rPr>
        <w:t xml:space="preserve">2006) havendo um comportamento diverso conforme os vírus têm ou não um invólucro exterior de gordura. </w:t>
      </w:r>
      <w:r w:rsidR="00F211EA">
        <w:rPr>
          <w:lang w:val="pt-PT"/>
        </w:rPr>
        <w:t>A</w:t>
      </w:r>
      <w:r w:rsidR="00CD0A99">
        <w:rPr>
          <w:lang w:val="pt-PT"/>
        </w:rPr>
        <w:t>ssim, no caso de vírus do tipo coronav</w:t>
      </w:r>
      <w:r w:rsidR="00F211EA">
        <w:rPr>
          <w:lang w:val="pt-PT"/>
        </w:rPr>
        <w:t xml:space="preserve">írus que apresentam uma camada exterior protetora de gordura, </w:t>
      </w:r>
      <w:r w:rsidR="00A926B8">
        <w:rPr>
          <w:lang w:val="pt-PT"/>
        </w:rPr>
        <w:t>a conclusão é que essa camada persiste melhor em ambientes secos e que é desestabilizada em ambientes mais húmidos</w:t>
      </w:r>
      <w:r w:rsidR="003A6E55">
        <w:rPr>
          <w:lang w:val="pt-PT"/>
        </w:rPr>
        <w:t xml:space="preserve">, ao contrário do que acontece com os vírus que não apresentam uma camada protetora de gordura </w:t>
      </w:r>
      <w:r w:rsidR="003A6E55" w:rsidRPr="008641D0">
        <w:rPr>
          <w:lang w:val="pt-PT"/>
        </w:rPr>
        <w:t>(</w:t>
      </w:r>
      <w:proofErr w:type="spellStart"/>
      <w:r w:rsidR="003A6E55" w:rsidRPr="008641D0">
        <w:rPr>
          <w:lang w:val="pt-PT"/>
        </w:rPr>
        <w:t>Roc</w:t>
      </w:r>
      <w:proofErr w:type="spellEnd"/>
      <w:r w:rsidR="003A6E55" w:rsidRPr="008641D0">
        <w:rPr>
          <w:lang w:val="pt-PT"/>
        </w:rPr>
        <w:t xml:space="preserve"> (1992) e por </w:t>
      </w:r>
      <w:proofErr w:type="spellStart"/>
      <w:r w:rsidR="00A926B8" w:rsidRPr="008641D0">
        <w:rPr>
          <w:lang w:val="pt-PT"/>
        </w:rPr>
        <w:t>Pillai</w:t>
      </w:r>
      <w:proofErr w:type="spellEnd"/>
      <w:r w:rsidR="00A926B8" w:rsidRPr="008641D0">
        <w:rPr>
          <w:lang w:val="pt-PT"/>
        </w:rPr>
        <w:t xml:space="preserve"> </w:t>
      </w:r>
      <w:proofErr w:type="spellStart"/>
      <w:r w:rsidR="00A926B8" w:rsidRPr="008641D0">
        <w:rPr>
          <w:lang w:val="pt-PT"/>
        </w:rPr>
        <w:t>and</w:t>
      </w:r>
      <w:proofErr w:type="spellEnd"/>
      <w:r w:rsidR="00A926B8" w:rsidRPr="008641D0">
        <w:rPr>
          <w:lang w:val="pt-PT"/>
        </w:rPr>
        <w:t xml:space="preserve"> </w:t>
      </w:r>
      <w:proofErr w:type="spellStart"/>
      <w:r w:rsidR="00A926B8" w:rsidRPr="008641D0">
        <w:rPr>
          <w:lang w:val="pt-PT"/>
        </w:rPr>
        <w:t>Ricke</w:t>
      </w:r>
      <w:proofErr w:type="spellEnd"/>
      <w:r w:rsidR="003A6E55" w:rsidRPr="008641D0">
        <w:rPr>
          <w:lang w:val="pt-PT"/>
        </w:rPr>
        <w:t xml:space="preserve"> (</w:t>
      </w:r>
      <w:r w:rsidR="00A926B8" w:rsidRPr="008641D0">
        <w:rPr>
          <w:lang w:val="pt-PT"/>
        </w:rPr>
        <w:t>2002</w:t>
      </w:r>
      <w:r w:rsidR="003A6E55" w:rsidRPr="008641D0">
        <w:rPr>
          <w:lang w:val="pt-PT"/>
        </w:rPr>
        <w:t xml:space="preserve">)). </w:t>
      </w:r>
      <w:r w:rsidR="003A6E55">
        <w:rPr>
          <w:lang w:val="pt-PT"/>
        </w:rPr>
        <w:t>No que diz respeito ao efeito da temperatura, tipicamente, a persistência dos vírus é mais alta com temperaturas frias do que com temperaturas quentes. A radiação solar tem uma componente de radiação ultravioleta que prejudica a persistência dos vírus pelo que</w:t>
      </w:r>
      <w:r w:rsidR="00AF57E6">
        <w:rPr>
          <w:lang w:val="pt-PT"/>
        </w:rPr>
        <w:t>,</w:t>
      </w:r>
      <w:r w:rsidR="003A6E55">
        <w:rPr>
          <w:lang w:val="pt-PT"/>
        </w:rPr>
        <w:t xml:space="preserve"> nos ambientes interiores sem luz natural direta, há condições mais favoráveis para a persistência dos vírus como partículas em suspensão.</w:t>
      </w:r>
      <w:r w:rsidR="0061199E">
        <w:rPr>
          <w:lang w:val="pt-PT"/>
        </w:rPr>
        <w:t xml:space="preserve"> Em resumo, a persistência de vírus do tipo do COVID-19 </w:t>
      </w:r>
      <w:r w:rsidR="00A90AFC">
        <w:rPr>
          <w:lang w:val="pt-PT"/>
        </w:rPr>
        <w:t xml:space="preserve">como um </w:t>
      </w:r>
      <w:proofErr w:type="spellStart"/>
      <w:r w:rsidR="00A90AFC">
        <w:rPr>
          <w:lang w:val="pt-PT"/>
        </w:rPr>
        <w:t>bioaero</w:t>
      </w:r>
      <w:r w:rsidR="0061199E">
        <w:rPr>
          <w:lang w:val="pt-PT"/>
        </w:rPr>
        <w:t>ssol</w:t>
      </w:r>
      <w:proofErr w:type="spellEnd"/>
      <w:r w:rsidR="0061199E">
        <w:rPr>
          <w:lang w:val="pt-PT"/>
        </w:rPr>
        <w:t xml:space="preserve"> em suspensão (seguindo as trajetórias das correntes de ar existentes no local) é maior em ambientes frios, secos e sem iluminação natural.</w:t>
      </w:r>
    </w:p>
    <w:p w:rsidR="0061199E" w:rsidRDefault="0061199E" w:rsidP="00CE4B32">
      <w:pPr>
        <w:jc w:val="both"/>
        <w:rPr>
          <w:lang w:val="pt-PT"/>
        </w:rPr>
      </w:pPr>
      <w:r>
        <w:rPr>
          <w:lang w:val="pt-PT"/>
        </w:rPr>
        <w:t xml:space="preserve">O segundo modo de transmissão referido na figura 6 é a transmissão direta por gotas que viajam desde o emissor infecionado até ao recetor suscetível e que são inaladas por este último. Acontece normalmente </w:t>
      </w:r>
      <w:r>
        <w:rPr>
          <w:lang w:val="pt-PT"/>
        </w:rPr>
        <w:lastRenderedPageBreak/>
        <w:t xml:space="preserve">com gotas com uma dimensão intermédia, entre cerca de </w:t>
      </w:r>
      <w:r w:rsidR="00A90AFC">
        <w:rPr>
          <w:lang w:val="pt-PT"/>
        </w:rPr>
        <w:t xml:space="preserve">10 e 50 </w:t>
      </w:r>
      <w:r w:rsidR="00A90AFC" w:rsidRPr="00A90AFC">
        <w:rPr>
          <w:rFonts w:ascii="Symbol" w:hAnsi="Symbol"/>
          <w:lang w:val="pt-PT"/>
        </w:rPr>
        <w:t></w:t>
      </w:r>
      <w:r w:rsidR="00A90AFC">
        <w:rPr>
          <w:lang w:val="pt-PT"/>
        </w:rPr>
        <w:t xml:space="preserve">m, que podem cumprir o trajeto entre o emissor e o recetor antes de se verificar a sua completa evaporação. </w:t>
      </w:r>
      <w:r w:rsidR="00AF57E6">
        <w:rPr>
          <w:lang w:val="pt-PT"/>
        </w:rPr>
        <w:t>Num episódio de tosse ou num espirro a velocidade inicial do jato que sai da boca do emissor pode ter valores típicos de 10 a 30 m/s, pelo que as partículas fazem rapidamente os trajetos de cerca de 1 m entre o emissor e o recetor, numa trajetória aproximadamente horizontal, devido à situação de equilíbrio entre as forças de sustentação de origem aerodinâmica e a força da gravidade</w:t>
      </w:r>
      <w:r w:rsidR="007834BF">
        <w:rPr>
          <w:lang w:val="pt-PT"/>
        </w:rPr>
        <w:t>, que apresentam magnitudes semelhantes e sentidos contrários.</w:t>
      </w:r>
    </w:p>
    <w:p w:rsidR="00AF57E6" w:rsidRDefault="00AF57E6" w:rsidP="00CE4B32">
      <w:pPr>
        <w:jc w:val="both"/>
        <w:rPr>
          <w:lang w:val="pt-PT"/>
        </w:rPr>
      </w:pPr>
      <w:r>
        <w:rPr>
          <w:lang w:val="pt-PT"/>
        </w:rPr>
        <w:t xml:space="preserve">As </w:t>
      </w:r>
      <w:r w:rsidR="007834BF">
        <w:rPr>
          <w:lang w:val="pt-PT"/>
        </w:rPr>
        <w:t>gotas</w:t>
      </w:r>
      <w:r>
        <w:rPr>
          <w:lang w:val="pt-PT"/>
        </w:rPr>
        <w:t xml:space="preserve"> de maior dimensão, com diâmetros superiores </w:t>
      </w:r>
      <w:r w:rsidR="007834BF">
        <w:rPr>
          <w:lang w:val="pt-PT"/>
        </w:rPr>
        <w:t>entre</w:t>
      </w:r>
      <w:r>
        <w:rPr>
          <w:lang w:val="pt-PT"/>
        </w:rPr>
        <w:t xml:space="preserve"> 50 </w:t>
      </w:r>
      <w:r w:rsidRPr="00AF57E6">
        <w:rPr>
          <w:rFonts w:ascii="Symbol" w:hAnsi="Symbol"/>
          <w:lang w:val="pt-PT"/>
        </w:rPr>
        <w:t></w:t>
      </w:r>
      <w:r>
        <w:rPr>
          <w:lang w:val="pt-PT"/>
        </w:rPr>
        <w:t>m</w:t>
      </w:r>
      <w:r w:rsidR="007834BF">
        <w:rPr>
          <w:lang w:val="pt-PT"/>
        </w:rPr>
        <w:t xml:space="preserve"> e 300 </w:t>
      </w:r>
      <w:r w:rsidR="007834BF" w:rsidRPr="007834BF">
        <w:rPr>
          <w:rFonts w:ascii="Symbol" w:hAnsi="Symbol"/>
          <w:lang w:val="pt-PT"/>
        </w:rPr>
        <w:t></w:t>
      </w:r>
      <w:r w:rsidR="007834BF">
        <w:rPr>
          <w:lang w:val="pt-PT"/>
        </w:rPr>
        <w:t>m</w:t>
      </w:r>
      <w:r>
        <w:rPr>
          <w:lang w:val="pt-PT"/>
        </w:rPr>
        <w:t xml:space="preserve">, são aquelas que </w:t>
      </w:r>
      <w:r w:rsidR="007834BF">
        <w:rPr>
          <w:lang w:val="pt-PT"/>
        </w:rPr>
        <w:t xml:space="preserve">estão na origem do modo de transmissão por contato. Como, no seu caso, a força da gravidade é dominante porque as forças de natureza aerodinâmica perdem influência relativa, estas partículas caem mais depressa e depositam-se nas superfícies, criando o que se designa por </w:t>
      </w:r>
      <w:proofErr w:type="spellStart"/>
      <w:r w:rsidR="007834BF">
        <w:rPr>
          <w:lang w:val="pt-PT"/>
        </w:rPr>
        <w:t>fomites</w:t>
      </w:r>
      <w:proofErr w:type="spellEnd"/>
      <w:r w:rsidR="007834BF">
        <w:rPr>
          <w:lang w:val="pt-PT"/>
        </w:rPr>
        <w:t xml:space="preserve"> (objetos ou materiais contaminados por elementos patogénicos)</w:t>
      </w:r>
      <w:r w:rsidR="00BE5F82">
        <w:rPr>
          <w:lang w:val="pt-PT"/>
        </w:rPr>
        <w:t xml:space="preserve">. </w:t>
      </w:r>
      <w:r w:rsidR="00BE5F82" w:rsidRPr="002E69BA">
        <w:rPr>
          <w:lang w:val="pt-PT"/>
        </w:rPr>
        <w:t xml:space="preserve">Há </w:t>
      </w:r>
      <w:r w:rsidR="00636CC9" w:rsidRPr="002E69BA">
        <w:rPr>
          <w:lang w:val="pt-PT"/>
        </w:rPr>
        <w:t>vários tipos</w:t>
      </w:r>
      <w:r w:rsidR="00BE5F82" w:rsidRPr="002E69BA">
        <w:rPr>
          <w:lang w:val="pt-PT"/>
        </w:rPr>
        <w:t xml:space="preserve"> de</w:t>
      </w:r>
      <w:r w:rsidR="00C962D1">
        <w:rPr>
          <w:lang w:val="pt-PT"/>
        </w:rPr>
        <w:t xml:space="preserve"> comportamento que podem contribuir para que os elementos patogénicos sejam transportados de modo a entrarem em contacto com uma zona de entrada no corpo do elemento rece</w:t>
      </w:r>
      <w:r w:rsidR="008878E3">
        <w:rPr>
          <w:lang w:val="pt-PT"/>
        </w:rPr>
        <w:t xml:space="preserve">tor (boca, olhos, nariz). </w:t>
      </w:r>
      <w:r w:rsidR="00BE5F82">
        <w:rPr>
          <w:lang w:val="pt-PT"/>
        </w:rPr>
        <w:t>Foi publicado um conjunto relevante de trabalhos</w:t>
      </w:r>
      <w:r w:rsidR="008878E3">
        <w:rPr>
          <w:lang w:val="pt-PT"/>
        </w:rPr>
        <w:t xml:space="preserve"> sobre este modo de transmissão, podendo ser, por exemplo consultados os </w:t>
      </w:r>
      <w:r w:rsidR="00BE5F82">
        <w:rPr>
          <w:lang w:val="pt-PT"/>
        </w:rPr>
        <w:t>artigos</w:t>
      </w:r>
      <w:r w:rsidR="008878E3">
        <w:rPr>
          <w:lang w:val="pt-PT"/>
        </w:rPr>
        <w:t xml:space="preserve"> de </w:t>
      </w:r>
      <w:proofErr w:type="spellStart"/>
      <w:r w:rsidR="008641D0" w:rsidRPr="008641D0">
        <w:rPr>
          <w:lang w:val="pt-PT"/>
        </w:rPr>
        <w:t>Rheinbahen</w:t>
      </w:r>
      <w:proofErr w:type="spellEnd"/>
      <w:r w:rsidR="008878E3" w:rsidRPr="002F3DFF">
        <w:rPr>
          <w:color w:val="FF0000"/>
          <w:lang w:val="pt-PT"/>
        </w:rPr>
        <w:t xml:space="preserve"> </w:t>
      </w:r>
      <w:proofErr w:type="spellStart"/>
      <w:r w:rsidR="008878E3" w:rsidRPr="008641D0">
        <w:rPr>
          <w:lang w:val="pt-PT"/>
        </w:rPr>
        <w:t>et</w:t>
      </w:r>
      <w:proofErr w:type="spellEnd"/>
      <w:r w:rsidR="008878E3" w:rsidRPr="008641D0">
        <w:rPr>
          <w:lang w:val="pt-PT"/>
        </w:rPr>
        <w:t xml:space="preserve"> al. (2000) e de </w:t>
      </w:r>
      <w:proofErr w:type="spellStart"/>
      <w:r w:rsidR="008878E3" w:rsidRPr="008641D0">
        <w:rPr>
          <w:lang w:val="pt-PT"/>
        </w:rPr>
        <w:t>Ba</w:t>
      </w:r>
      <w:r w:rsidR="00583FCE" w:rsidRPr="008641D0">
        <w:rPr>
          <w:lang w:val="pt-PT"/>
        </w:rPr>
        <w:t>r</w:t>
      </w:r>
      <w:r w:rsidR="008878E3" w:rsidRPr="008641D0">
        <w:rPr>
          <w:lang w:val="pt-PT"/>
        </w:rPr>
        <w:t>ker</w:t>
      </w:r>
      <w:proofErr w:type="spellEnd"/>
      <w:r w:rsidR="008878E3" w:rsidRPr="008641D0">
        <w:rPr>
          <w:lang w:val="pt-PT"/>
        </w:rPr>
        <w:t xml:space="preserve"> </w:t>
      </w:r>
      <w:proofErr w:type="spellStart"/>
      <w:r w:rsidR="008878E3" w:rsidRPr="008641D0">
        <w:rPr>
          <w:lang w:val="pt-PT"/>
        </w:rPr>
        <w:t>et</w:t>
      </w:r>
      <w:proofErr w:type="spellEnd"/>
      <w:r w:rsidR="008878E3" w:rsidRPr="008641D0">
        <w:rPr>
          <w:lang w:val="pt-PT"/>
        </w:rPr>
        <w:t xml:space="preserve"> al. (2001).</w:t>
      </w:r>
    </w:p>
    <w:p w:rsidR="000216A3" w:rsidRDefault="000216A3" w:rsidP="00CE4B32">
      <w:pPr>
        <w:jc w:val="both"/>
        <w:rPr>
          <w:lang w:val="pt-PT"/>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216A3" w:rsidTr="002F3DFF">
        <w:tc>
          <w:tcPr>
            <w:tcW w:w="9350" w:type="dxa"/>
          </w:tcPr>
          <w:p w:rsidR="000216A3" w:rsidRDefault="00094345" w:rsidP="00CE4B32">
            <w:pPr>
              <w:jc w:val="both"/>
              <w:rPr>
                <w:lang w:val="pt-PT"/>
              </w:rPr>
            </w:pPr>
            <w:r w:rsidRPr="000216A3">
              <w:rPr>
                <w:noProof/>
                <w:lang w:val="pt-PT" w:eastAsia="pt-PT"/>
              </w:rPr>
              <w:drawing>
                <wp:inline distT="0" distB="0" distL="0" distR="0" wp14:anchorId="489C5503" wp14:editId="307642E9">
                  <wp:extent cx="5797538" cy="2924493"/>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99989" cy="2925729"/>
                          </a:xfrm>
                          <a:prstGeom prst="rect">
                            <a:avLst/>
                          </a:prstGeom>
                          <a:noFill/>
                          <a:ln>
                            <a:noFill/>
                          </a:ln>
                        </pic:spPr>
                      </pic:pic>
                    </a:graphicData>
                  </a:graphic>
                </wp:inline>
              </w:drawing>
            </w:r>
          </w:p>
        </w:tc>
      </w:tr>
      <w:tr w:rsidR="000216A3" w:rsidRPr="00CD0A99" w:rsidTr="002F3DFF">
        <w:tc>
          <w:tcPr>
            <w:tcW w:w="9350" w:type="dxa"/>
          </w:tcPr>
          <w:p w:rsidR="000216A3" w:rsidRDefault="002F3DFF" w:rsidP="002F3DFF">
            <w:pPr>
              <w:ind w:left="967" w:hanging="967"/>
              <w:jc w:val="both"/>
              <w:rPr>
                <w:lang w:val="pt-PT"/>
              </w:rPr>
            </w:pPr>
            <w:r>
              <w:rPr>
                <w:lang w:val="pt-PT"/>
              </w:rPr>
              <w:t>Figura 7 – Tempos de evaporação da fase líquida em gotas de água em função da sua dimensão e da humidade relativa do ar</w:t>
            </w:r>
          </w:p>
        </w:tc>
      </w:tr>
    </w:tbl>
    <w:p w:rsidR="000216A3" w:rsidRDefault="000216A3" w:rsidP="00CE4B32">
      <w:pPr>
        <w:jc w:val="both"/>
        <w:rPr>
          <w:lang w:val="pt-PT"/>
        </w:rPr>
      </w:pPr>
    </w:p>
    <w:p w:rsidR="002F3DFF" w:rsidRDefault="008878E3" w:rsidP="00CE4B32">
      <w:pPr>
        <w:jc w:val="both"/>
        <w:rPr>
          <w:rFonts w:ascii="Calibri" w:hAnsi="Calibri" w:cs="Calibri"/>
          <w:color w:val="1F497D"/>
          <w:lang w:val="pt-PT"/>
        </w:rPr>
      </w:pPr>
      <w:r>
        <w:rPr>
          <w:lang w:val="pt-PT"/>
        </w:rPr>
        <w:t>É mais ou menos consensual que o modo de transmissão por con</w:t>
      </w:r>
      <w:r w:rsidR="0088512A">
        <w:rPr>
          <w:lang w:val="pt-PT"/>
        </w:rPr>
        <w:t>t</w:t>
      </w:r>
      <w:r>
        <w:rPr>
          <w:lang w:val="pt-PT"/>
        </w:rPr>
        <w:t>ato e o modo de transmissão por gotas</w:t>
      </w:r>
      <w:r w:rsidR="0088512A">
        <w:rPr>
          <w:lang w:val="pt-PT"/>
        </w:rPr>
        <w:t>, estão presentes nas transmissões de vírus do tipo do COVID-19, mas h</w:t>
      </w:r>
      <w:r w:rsidR="00CE4B32" w:rsidRPr="00CE4B32">
        <w:rPr>
          <w:lang w:val="pt-PT"/>
        </w:rPr>
        <w:t xml:space="preserve">avia, até há algum tempo, a convicção que o modo de contaminação por partículas em suspensão </w:t>
      </w:r>
      <w:r w:rsidR="00283409">
        <w:rPr>
          <w:lang w:val="pt-PT"/>
        </w:rPr>
        <w:t>não era relevante</w:t>
      </w:r>
      <w:r w:rsidR="00CE4B32" w:rsidRPr="00CE4B32">
        <w:rPr>
          <w:lang w:val="pt-PT"/>
        </w:rPr>
        <w:t xml:space="preserve"> </w:t>
      </w:r>
      <w:r w:rsidR="00283409">
        <w:rPr>
          <w:lang w:val="pt-PT"/>
        </w:rPr>
        <w:t>nos casos de</w:t>
      </w:r>
      <w:r w:rsidR="00CE4B32" w:rsidRPr="00CE4B32">
        <w:rPr>
          <w:lang w:val="pt-PT"/>
        </w:rPr>
        <w:t xml:space="preserve"> infeções virais e que acontecia sobretudo com bactéri</w:t>
      </w:r>
      <w:r w:rsidR="0088512A">
        <w:rPr>
          <w:lang w:val="pt-PT"/>
        </w:rPr>
        <w:t xml:space="preserve">as (tuberculose, </w:t>
      </w:r>
      <w:proofErr w:type="spellStart"/>
      <w:r w:rsidR="0088512A">
        <w:rPr>
          <w:lang w:val="pt-PT"/>
        </w:rPr>
        <w:t>legionella</w:t>
      </w:r>
      <w:proofErr w:type="spellEnd"/>
      <w:r w:rsidR="0088512A">
        <w:rPr>
          <w:lang w:val="pt-PT"/>
        </w:rPr>
        <w:t xml:space="preserve">, …). Provavelmente a dificuldade de estabelecimento da relação </w:t>
      </w:r>
      <w:proofErr w:type="gramStart"/>
      <w:r w:rsidR="0088512A">
        <w:rPr>
          <w:lang w:val="pt-PT"/>
        </w:rPr>
        <w:t>causa–efeito</w:t>
      </w:r>
      <w:proofErr w:type="gramEnd"/>
      <w:r w:rsidR="0088512A">
        <w:rPr>
          <w:lang w:val="pt-PT"/>
        </w:rPr>
        <w:t xml:space="preserve">, porque se trata de um tipo de investigação mais difícil e que envolve a necessidade de meios muito mais sofisticados está na base deste facto, </w:t>
      </w:r>
      <w:r w:rsidR="00CE4B32" w:rsidRPr="00CE4B32">
        <w:rPr>
          <w:lang w:val="pt-PT"/>
        </w:rPr>
        <w:t xml:space="preserve">apesar de </w:t>
      </w:r>
      <w:r w:rsidR="00CE4B32" w:rsidRPr="00CE4B32">
        <w:rPr>
          <w:lang w:val="pt-PT"/>
        </w:rPr>
        <w:lastRenderedPageBreak/>
        <w:t>já se saber que</w:t>
      </w:r>
      <w:r w:rsidR="0088512A">
        <w:rPr>
          <w:lang w:val="pt-PT"/>
        </w:rPr>
        <w:t>, por exemplo,</w:t>
      </w:r>
      <w:r w:rsidR="00CE4B32" w:rsidRPr="00CE4B32">
        <w:rPr>
          <w:lang w:val="pt-PT"/>
        </w:rPr>
        <w:t xml:space="preserve"> no caso do sarampo, que é viral, há também transmissão por partículas em suspensão.</w:t>
      </w:r>
      <w:r w:rsidR="00CE4B32">
        <w:rPr>
          <w:lang w:val="pt-PT"/>
        </w:rPr>
        <w:t xml:space="preserve"> </w:t>
      </w:r>
      <w:r w:rsidR="00CE4B32" w:rsidRPr="00CE4B32">
        <w:rPr>
          <w:lang w:val="pt-PT"/>
        </w:rPr>
        <w:t xml:space="preserve">Não </w:t>
      </w:r>
      <w:r w:rsidR="00094345">
        <w:rPr>
          <w:lang w:val="pt-PT"/>
        </w:rPr>
        <w:t>existia</w:t>
      </w:r>
      <w:r w:rsidR="00CE4B32" w:rsidRPr="00CE4B32">
        <w:rPr>
          <w:lang w:val="pt-PT"/>
        </w:rPr>
        <w:t xml:space="preserve"> uma completa unanimidade sobre o papel das transmissões aéreas por aerossóis, mas as evidências da sua existência nos casos de transmissões virais têm aumentado substancialmente nos artigos mais recentes</w:t>
      </w:r>
      <w:r w:rsidR="00CE4B32">
        <w:rPr>
          <w:rFonts w:ascii="Calibri" w:hAnsi="Calibri" w:cs="Calibri"/>
          <w:color w:val="1F497D"/>
          <w:lang w:val="pt-PT"/>
        </w:rPr>
        <w:t>.</w:t>
      </w:r>
      <w:r w:rsidR="00CA6A94">
        <w:rPr>
          <w:rFonts w:ascii="Calibri" w:hAnsi="Calibri" w:cs="Calibri"/>
          <w:color w:val="1F497D"/>
          <w:lang w:val="pt-PT"/>
        </w:rPr>
        <w:t xml:space="preserve"> </w:t>
      </w:r>
      <w:r w:rsidR="00CA6A94" w:rsidRPr="00CA6A94">
        <w:rPr>
          <w:rFonts w:ascii="Calibri" w:hAnsi="Calibri" w:cs="Calibri"/>
          <w:lang w:val="pt-PT"/>
        </w:rPr>
        <w:t>Na tabela seguinte apresentam-se resumem-se alguns dos artigos que sustentam a existência de transmissão de infeções virais através do modo das de partículas em suspensão</w:t>
      </w:r>
      <w:r w:rsidR="00CA6A94">
        <w:rPr>
          <w:rFonts w:ascii="Calibri" w:hAnsi="Calibri" w:cs="Calibri"/>
          <w:color w:val="1F497D"/>
          <w:lang w:val="pt-PT"/>
        </w:rPr>
        <w:t>.</w:t>
      </w:r>
    </w:p>
    <w:tbl>
      <w:tblPr>
        <w:tblStyle w:val="Tabelacomgrelha"/>
        <w:tblW w:w="9445" w:type="dxa"/>
        <w:tblLook w:val="04A0" w:firstRow="1" w:lastRow="0" w:firstColumn="1" w:lastColumn="0" w:noHBand="0" w:noVBand="1"/>
      </w:tblPr>
      <w:tblGrid>
        <w:gridCol w:w="2425"/>
        <w:gridCol w:w="1170"/>
        <w:gridCol w:w="1710"/>
        <w:gridCol w:w="4140"/>
      </w:tblGrid>
      <w:tr w:rsidR="004A568A" w:rsidTr="00CA6A94">
        <w:tc>
          <w:tcPr>
            <w:tcW w:w="2425" w:type="dxa"/>
          </w:tcPr>
          <w:p w:rsidR="004A568A" w:rsidRPr="00060425" w:rsidRDefault="004A568A" w:rsidP="00060425">
            <w:pPr>
              <w:jc w:val="center"/>
              <w:rPr>
                <w:rFonts w:ascii="Calibri" w:hAnsi="Calibri" w:cs="Calibri"/>
                <w:b/>
                <w:lang w:val="pt-PT"/>
              </w:rPr>
            </w:pPr>
            <w:proofErr w:type="gramStart"/>
            <w:r w:rsidRPr="00060425">
              <w:rPr>
                <w:rFonts w:ascii="Calibri" w:hAnsi="Calibri" w:cs="Calibri"/>
                <w:b/>
                <w:lang w:val="pt-PT"/>
              </w:rPr>
              <w:t>Autor(</w:t>
            </w:r>
            <w:proofErr w:type="spellStart"/>
            <w:r w:rsidRPr="00060425">
              <w:rPr>
                <w:rFonts w:ascii="Calibri" w:hAnsi="Calibri" w:cs="Calibri"/>
                <w:b/>
                <w:lang w:val="pt-PT"/>
              </w:rPr>
              <w:t>es</w:t>
            </w:r>
            <w:proofErr w:type="spellEnd"/>
            <w:proofErr w:type="gramEnd"/>
            <w:r w:rsidRPr="00060425">
              <w:rPr>
                <w:rFonts w:ascii="Calibri" w:hAnsi="Calibri" w:cs="Calibri"/>
                <w:b/>
                <w:lang w:val="pt-PT"/>
              </w:rPr>
              <w:t>)</w:t>
            </w:r>
          </w:p>
        </w:tc>
        <w:tc>
          <w:tcPr>
            <w:tcW w:w="1170" w:type="dxa"/>
          </w:tcPr>
          <w:p w:rsidR="004A568A" w:rsidRPr="00060425" w:rsidRDefault="004A568A" w:rsidP="00060425">
            <w:pPr>
              <w:jc w:val="center"/>
              <w:rPr>
                <w:rFonts w:ascii="Calibri" w:hAnsi="Calibri" w:cs="Calibri"/>
                <w:b/>
                <w:lang w:val="pt-PT"/>
              </w:rPr>
            </w:pPr>
            <w:r w:rsidRPr="00060425">
              <w:rPr>
                <w:rFonts w:ascii="Calibri" w:hAnsi="Calibri" w:cs="Calibri"/>
                <w:b/>
                <w:lang w:val="pt-PT"/>
              </w:rPr>
              <w:t>Vírus</w:t>
            </w:r>
          </w:p>
        </w:tc>
        <w:tc>
          <w:tcPr>
            <w:tcW w:w="1710" w:type="dxa"/>
          </w:tcPr>
          <w:p w:rsidR="004A568A" w:rsidRPr="00060425" w:rsidRDefault="004A568A" w:rsidP="00060425">
            <w:pPr>
              <w:jc w:val="center"/>
              <w:rPr>
                <w:rFonts w:ascii="Calibri" w:hAnsi="Calibri" w:cs="Calibri"/>
                <w:b/>
                <w:lang w:val="pt-PT"/>
              </w:rPr>
            </w:pPr>
            <w:r w:rsidRPr="00060425">
              <w:rPr>
                <w:rFonts w:ascii="Calibri" w:hAnsi="Calibri" w:cs="Calibri"/>
                <w:b/>
                <w:lang w:val="pt-PT"/>
              </w:rPr>
              <w:t>Ambiente</w:t>
            </w:r>
          </w:p>
        </w:tc>
        <w:tc>
          <w:tcPr>
            <w:tcW w:w="4140" w:type="dxa"/>
          </w:tcPr>
          <w:p w:rsidR="004A568A" w:rsidRPr="00060425" w:rsidRDefault="00060425" w:rsidP="00060425">
            <w:pPr>
              <w:jc w:val="center"/>
              <w:rPr>
                <w:rFonts w:ascii="Calibri" w:hAnsi="Calibri" w:cs="Calibri"/>
                <w:b/>
                <w:lang w:val="pt-PT"/>
              </w:rPr>
            </w:pPr>
            <w:r>
              <w:rPr>
                <w:rFonts w:ascii="Calibri" w:hAnsi="Calibri" w:cs="Calibri"/>
                <w:b/>
                <w:lang w:val="pt-PT"/>
              </w:rPr>
              <w:t>Caso</w:t>
            </w:r>
            <w:r w:rsidR="004A568A" w:rsidRPr="00060425">
              <w:rPr>
                <w:rFonts w:ascii="Calibri" w:hAnsi="Calibri" w:cs="Calibri"/>
                <w:b/>
                <w:lang w:val="pt-PT"/>
              </w:rPr>
              <w:t xml:space="preserve"> </w:t>
            </w:r>
            <w:r>
              <w:rPr>
                <w:rFonts w:ascii="Calibri" w:hAnsi="Calibri" w:cs="Calibri"/>
                <w:b/>
                <w:lang w:val="pt-PT"/>
              </w:rPr>
              <w:t>/ Evidência</w:t>
            </w:r>
          </w:p>
        </w:tc>
      </w:tr>
      <w:tr w:rsidR="004A568A" w:rsidRPr="00CD0A99" w:rsidTr="00CA6A94">
        <w:tc>
          <w:tcPr>
            <w:tcW w:w="2425" w:type="dxa"/>
          </w:tcPr>
          <w:p w:rsidR="004A568A" w:rsidRPr="00060425" w:rsidRDefault="004A568A" w:rsidP="00EC4BDB">
            <w:pPr>
              <w:jc w:val="both"/>
              <w:rPr>
                <w:rFonts w:ascii="Calibri" w:hAnsi="Calibri" w:cs="Calibri"/>
                <w:lang w:val="pt-PT"/>
              </w:rPr>
            </w:pPr>
            <w:proofErr w:type="spellStart"/>
            <w:r w:rsidRPr="00060425">
              <w:rPr>
                <w:rFonts w:ascii="Calibri" w:hAnsi="Calibri" w:cs="Calibri"/>
                <w:lang w:val="pt-PT"/>
              </w:rPr>
              <w:t>McLean</w:t>
            </w:r>
            <w:proofErr w:type="spellEnd"/>
            <w:r w:rsidRPr="00060425">
              <w:rPr>
                <w:rFonts w:ascii="Calibri" w:hAnsi="Calibri" w:cs="Calibri"/>
                <w:lang w:val="pt-PT"/>
              </w:rPr>
              <w:t xml:space="preserve"> (1961)</w:t>
            </w:r>
          </w:p>
        </w:tc>
        <w:tc>
          <w:tcPr>
            <w:tcW w:w="1170" w:type="dxa"/>
          </w:tcPr>
          <w:p w:rsidR="004A568A" w:rsidRPr="00060425" w:rsidRDefault="004A568A" w:rsidP="00EC4BDB">
            <w:pPr>
              <w:jc w:val="both"/>
              <w:rPr>
                <w:rFonts w:ascii="Calibri" w:hAnsi="Calibri" w:cs="Calibri"/>
                <w:lang w:val="pt-PT"/>
              </w:rPr>
            </w:pPr>
            <w:r w:rsidRPr="00060425">
              <w:rPr>
                <w:rFonts w:ascii="Calibri" w:hAnsi="Calibri" w:cs="Calibri"/>
                <w:lang w:val="pt-PT"/>
              </w:rPr>
              <w:t>Influenza</w:t>
            </w:r>
          </w:p>
        </w:tc>
        <w:tc>
          <w:tcPr>
            <w:tcW w:w="1710" w:type="dxa"/>
          </w:tcPr>
          <w:p w:rsidR="004A568A" w:rsidRPr="00060425" w:rsidRDefault="00CA6A94" w:rsidP="00CA6A94">
            <w:pPr>
              <w:jc w:val="both"/>
              <w:rPr>
                <w:rFonts w:ascii="Calibri" w:hAnsi="Calibri" w:cs="Calibri"/>
                <w:lang w:val="pt-PT"/>
              </w:rPr>
            </w:pPr>
            <w:proofErr w:type="gramStart"/>
            <w:r w:rsidRPr="00060425">
              <w:rPr>
                <w:rFonts w:ascii="Calibri" w:hAnsi="Calibri" w:cs="Calibri"/>
                <w:lang w:val="pt-PT"/>
              </w:rPr>
              <w:t>Residência  de</w:t>
            </w:r>
            <w:proofErr w:type="gramEnd"/>
            <w:r w:rsidRPr="00060425">
              <w:rPr>
                <w:rFonts w:ascii="Calibri" w:hAnsi="Calibri" w:cs="Calibri"/>
                <w:lang w:val="pt-PT"/>
              </w:rPr>
              <w:t xml:space="preserve"> Veteranos</w:t>
            </w:r>
          </w:p>
        </w:tc>
        <w:tc>
          <w:tcPr>
            <w:tcW w:w="4140" w:type="dxa"/>
          </w:tcPr>
          <w:p w:rsidR="004A568A" w:rsidRPr="00060425" w:rsidRDefault="004A568A" w:rsidP="000E6B93">
            <w:pPr>
              <w:jc w:val="both"/>
              <w:rPr>
                <w:rFonts w:ascii="Calibri" w:hAnsi="Calibri" w:cs="Calibri"/>
                <w:lang w:val="pt-PT"/>
              </w:rPr>
            </w:pPr>
            <w:r w:rsidRPr="00060425">
              <w:rPr>
                <w:rFonts w:ascii="Calibri" w:hAnsi="Calibri" w:cs="Calibri"/>
                <w:lang w:val="pt-PT"/>
              </w:rPr>
              <w:t xml:space="preserve">80% </w:t>
            </w:r>
            <w:proofErr w:type="spellStart"/>
            <w:proofErr w:type="gramStart"/>
            <w:r w:rsidRPr="00060425">
              <w:rPr>
                <w:rFonts w:ascii="Calibri" w:hAnsi="Calibri" w:cs="Calibri"/>
                <w:lang w:val="pt-PT"/>
              </w:rPr>
              <w:t>reduc</w:t>
            </w:r>
            <w:r w:rsidR="000E6B93" w:rsidRPr="00060425">
              <w:rPr>
                <w:rFonts w:ascii="Calibri" w:hAnsi="Calibri" w:cs="Calibri"/>
                <w:lang w:val="pt-PT"/>
              </w:rPr>
              <w:t>ão</w:t>
            </w:r>
            <w:proofErr w:type="spellEnd"/>
            <w:proofErr w:type="gramEnd"/>
            <w:r w:rsidR="000E6B93" w:rsidRPr="00060425">
              <w:rPr>
                <w:rFonts w:ascii="Calibri" w:hAnsi="Calibri" w:cs="Calibri"/>
                <w:lang w:val="pt-PT"/>
              </w:rPr>
              <w:t xml:space="preserve"> de transmissão de piso</w:t>
            </w:r>
            <w:r w:rsidR="00583FCE">
              <w:rPr>
                <w:rFonts w:ascii="Calibri" w:hAnsi="Calibri" w:cs="Calibri"/>
                <w:lang w:val="pt-PT"/>
              </w:rPr>
              <w:t xml:space="preserve"> </w:t>
            </w:r>
            <w:r w:rsidR="000E6B93" w:rsidRPr="00060425">
              <w:rPr>
                <w:rFonts w:ascii="Calibri" w:hAnsi="Calibri" w:cs="Calibri"/>
                <w:lang w:val="pt-PT"/>
              </w:rPr>
              <w:t xml:space="preserve">para piso devido a instalação de </w:t>
            </w:r>
            <w:proofErr w:type="spellStart"/>
            <w:r w:rsidR="000E6B93" w:rsidRPr="00060425">
              <w:rPr>
                <w:rFonts w:ascii="Calibri" w:hAnsi="Calibri" w:cs="Calibri"/>
                <w:lang w:val="pt-PT"/>
              </w:rPr>
              <w:t>ultra-violetas</w:t>
            </w:r>
            <w:proofErr w:type="spellEnd"/>
          </w:p>
        </w:tc>
      </w:tr>
      <w:tr w:rsidR="004A568A" w:rsidRPr="00CD0A99" w:rsidTr="00CA6A94">
        <w:tc>
          <w:tcPr>
            <w:tcW w:w="2425" w:type="dxa"/>
          </w:tcPr>
          <w:p w:rsidR="004A568A" w:rsidRPr="00060425" w:rsidRDefault="004A568A" w:rsidP="00EC4BDB">
            <w:pPr>
              <w:jc w:val="both"/>
              <w:rPr>
                <w:rFonts w:ascii="Calibri" w:hAnsi="Calibri" w:cs="Calibri"/>
              </w:rPr>
            </w:pPr>
            <w:r w:rsidRPr="00060425">
              <w:rPr>
                <w:rFonts w:ascii="Calibri" w:hAnsi="Calibri" w:cs="Calibri"/>
              </w:rPr>
              <w:t>Moser et al. (1979)</w:t>
            </w:r>
          </w:p>
        </w:tc>
        <w:tc>
          <w:tcPr>
            <w:tcW w:w="1170" w:type="dxa"/>
          </w:tcPr>
          <w:p w:rsidR="004A568A" w:rsidRPr="00060425" w:rsidRDefault="004A568A" w:rsidP="00EC4BDB">
            <w:pPr>
              <w:jc w:val="both"/>
              <w:rPr>
                <w:rFonts w:ascii="Calibri" w:hAnsi="Calibri" w:cs="Calibri"/>
              </w:rPr>
            </w:pPr>
            <w:r w:rsidRPr="00060425">
              <w:rPr>
                <w:rFonts w:ascii="Calibri" w:hAnsi="Calibri" w:cs="Calibri"/>
              </w:rPr>
              <w:t>Influenza</w:t>
            </w:r>
          </w:p>
        </w:tc>
        <w:tc>
          <w:tcPr>
            <w:tcW w:w="1710" w:type="dxa"/>
          </w:tcPr>
          <w:p w:rsidR="004A568A" w:rsidRPr="00060425" w:rsidRDefault="004A568A" w:rsidP="00CA6A94">
            <w:pPr>
              <w:jc w:val="both"/>
              <w:rPr>
                <w:rFonts w:ascii="Calibri" w:hAnsi="Calibri" w:cs="Calibri"/>
                <w:lang w:val="pt-PT"/>
              </w:rPr>
            </w:pPr>
            <w:r w:rsidRPr="00060425">
              <w:rPr>
                <w:rFonts w:ascii="Calibri" w:hAnsi="Calibri" w:cs="Calibri"/>
                <w:lang w:val="pt-PT"/>
              </w:rPr>
              <w:t xml:space="preserve">Avião no solo no </w:t>
            </w:r>
            <w:proofErr w:type="spellStart"/>
            <w:r w:rsidRPr="00060425">
              <w:rPr>
                <w:rFonts w:ascii="Calibri" w:hAnsi="Calibri" w:cs="Calibri"/>
                <w:lang w:val="pt-PT"/>
              </w:rPr>
              <w:t>Alaska</w:t>
            </w:r>
            <w:proofErr w:type="spellEnd"/>
            <w:r w:rsidRPr="00060425">
              <w:rPr>
                <w:rFonts w:ascii="Calibri" w:hAnsi="Calibri" w:cs="Calibri"/>
                <w:lang w:val="pt-PT"/>
              </w:rPr>
              <w:t xml:space="preserve"> com </w:t>
            </w:r>
            <w:proofErr w:type="gramStart"/>
            <w:r w:rsidR="00CA6A94" w:rsidRPr="00060425">
              <w:rPr>
                <w:rFonts w:ascii="Calibri" w:hAnsi="Calibri" w:cs="Calibri"/>
                <w:lang w:val="pt-PT"/>
              </w:rPr>
              <w:t xml:space="preserve">sistema </w:t>
            </w:r>
            <w:r w:rsidRPr="00060425">
              <w:rPr>
                <w:rFonts w:ascii="Calibri" w:hAnsi="Calibri" w:cs="Calibri"/>
                <w:lang w:val="pt-PT"/>
              </w:rPr>
              <w:t xml:space="preserve">  </w:t>
            </w:r>
            <w:r w:rsidR="00CA6A94" w:rsidRPr="00060425">
              <w:rPr>
                <w:rFonts w:ascii="Calibri" w:hAnsi="Calibri" w:cs="Calibri"/>
                <w:lang w:val="pt-PT"/>
              </w:rPr>
              <w:t>de</w:t>
            </w:r>
            <w:proofErr w:type="gramEnd"/>
            <w:r w:rsidR="00CA6A94" w:rsidRPr="00060425">
              <w:rPr>
                <w:rFonts w:ascii="Calibri" w:hAnsi="Calibri" w:cs="Calibri"/>
                <w:lang w:val="pt-PT"/>
              </w:rPr>
              <w:t xml:space="preserve"> </w:t>
            </w:r>
            <w:r w:rsidRPr="00060425">
              <w:rPr>
                <w:rFonts w:ascii="Calibri" w:hAnsi="Calibri" w:cs="Calibri"/>
                <w:lang w:val="pt-PT"/>
              </w:rPr>
              <w:t xml:space="preserve">ventilação </w:t>
            </w:r>
            <w:r w:rsidR="00CA6A94" w:rsidRPr="00060425">
              <w:rPr>
                <w:rFonts w:ascii="Calibri" w:hAnsi="Calibri" w:cs="Calibri"/>
                <w:lang w:val="pt-PT"/>
              </w:rPr>
              <w:t>desligado</w:t>
            </w:r>
          </w:p>
        </w:tc>
        <w:tc>
          <w:tcPr>
            <w:tcW w:w="4140" w:type="dxa"/>
          </w:tcPr>
          <w:p w:rsidR="004A568A" w:rsidRPr="00060425" w:rsidRDefault="004A568A" w:rsidP="00EC4BDB">
            <w:pPr>
              <w:jc w:val="both"/>
              <w:rPr>
                <w:rFonts w:ascii="Calibri" w:hAnsi="Calibri" w:cs="Calibri"/>
                <w:lang w:val="pt-PT"/>
              </w:rPr>
            </w:pPr>
            <w:r w:rsidRPr="00060425">
              <w:rPr>
                <w:rFonts w:ascii="Calibri" w:hAnsi="Calibri" w:cs="Calibri"/>
                <w:lang w:val="pt-PT"/>
              </w:rPr>
              <w:t xml:space="preserve">1 </w:t>
            </w:r>
            <w:proofErr w:type="gramStart"/>
            <w:r w:rsidRPr="00060425">
              <w:rPr>
                <w:rFonts w:ascii="Calibri" w:hAnsi="Calibri" w:cs="Calibri"/>
                <w:lang w:val="pt-PT"/>
              </w:rPr>
              <w:t>pessoa</w:t>
            </w:r>
            <w:proofErr w:type="gramEnd"/>
            <w:r w:rsidRPr="00060425">
              <w:rPr>
                <w:rFonts w:ascii="Calibri" w:hAnsi="Calibri" w:cs="Calibri"/>
                <w:lang w:val="pt-PT"/>
              </w:rPr>
              <w:t xml:space="preserve"> infetou 54 pessoas sentadas a bordo</w:t>
            </w:r>
            <w:r w:rsidR="001D55D8" w:rsidRPr="00060425">
              <w:rPr>
                <w:rFonts w:ascii="Calibri" w:hAnsi="Calibri" w:cs="Calibri"/>
                <w:lang w:val="pt-PT"/>
              </w:rPr>
              <w:t xml:space="preserve"> (72%). Atualmente sistemas de ventilação de aviões têm sistemas de filtragem muito mais eficientes</w:t>
            </w:r>
          </w:p>
        </w:tc>
      </w:tr>
      <w:tr w:rsidR="004A568A" w:rsidRPr="00CD0A99" w:rsidTr="00CA6A94">
        <w:tc>
          <w:tcPr>
            <w:tcW w:w="2425" w:type="dxa"/>
          </w:tcPr>
          <w:p w:rsidR="004A568A" w:rsidRPr="00060425" w:rsidRDefault="004A568A" w:rsidP="00EC4BDB">
            <w:pPr>
              <w:jc w:val="both"/>
              <w:rPr>
                <w:rFonts w:ascii="Calibri" w:hAnsi="Calibri" w:cs="Calibri"/>
              </w:rPr>
            </w:pPr>
            <w:proofErr w:type="spellStart"/>
            <w:r w:rsidRPr="00060425">
              <w:rPr>
                <w:rFonts w:ascii="Calibri" w:hAnsi="Calibri" w:cs="Calibri"/>
              </w:rPr>
              <w:t>Klontz</w:t>
            </w:r>
            <w:proofErr w:type="spellEnd"/>
            <w:r w:rsidRPr="00060425">
              <w:rPr>
                <w:rFonts w:ascii="Calibri" w:hAnsi="Calibri" w:cs="Calibri"/>
              </w:rPr>
              <w:t xml:space="preserve"> et al (1986)</w:t>
            </w:r>
          </w:p>
        </w:tc>
        <w:tc>
          <w:tcPr>
            <w:tcW w:w="1170" w:type="dxa"/>
          </w:tcPr>
          <w:p w:rsidR="004A568A" w:rsidRPr="00060425" w:rsidRDefault="004A568A" w:rsidP="00EC4BDB">
            <w:pPr>
              <w:jc w:val="both"/>
              <w:rPr>
                <w:rFonts w:ascii="Calibri" w:hAnsi="Calibri" w:cs="Calibri"/>
              </w:rPr>
            </w:pPr>
            <w:r w:rsidRPr="00060425">
              <w:rPr>
                <w:rFonts w:ascii="Calibri" w:hAnsi="Calibri" w:cs="Calibri"/>
              </w:rPr>
              <w:t>H1N1</w:t>
            </w:r>
          </w:p>
        </w:tc>
        <w:tc>
          <w:tcPr>
            <w:tcW w:w="1710" w:type="dxa"/>
          </w:tcPr>
          <w:p w:rsidR="004A568A" w:rsidRPr="00060425" w:rsidRDefault="004A568A" w:rsidP="00EC4BDB">
            <w:pPr>
              <w:jc w:val="both"/>
              <w:rPr>
                <w:rFonts w:ascii="Calibri" w:hAnsi="Calibri" w:cs="Calibri"/>
              </w:rPr>
            </w:pPr>
            <w:proofErr w:type="spellStart"/>
            <w:r w:rsidRPr="00060425">
              <w:rPr>
                <w:rFonts w:ascii="Calibri" w:hAnsi="Calibri" w:cs="Calibri"/>
              </w:rPr>
              <w:t>Aviões</w:t>
            </w:r>
            <w:proofErr w:type="spellEnd"/>
            <w:r w:rsidRPr="00060425">
              <w:rPr>
                <w:rFonts w:ascii="Calibri" w:hAnsi="Calibri" w:cs="Calibri"/>
              </w:rPr>
              <w:t xml:space="preserve"> US Navy</w:t>
            </w:r>
          </w:p>
        </w:tc>
        <w:tc>
          <w:tcPr>
            <w:tcW w:w="4140" w:type="dxa"/>
          </w:tcPr>
          <w:p w:rsidR="004A568A" w:rsidRPr="00060425" w:rsidRDefault="004A568A" w:rsidP="00EC4BDB">
            <w:pPr>
              <w:jc w:val="both"/>
              <w:rPr>
                <w:rFonts w:ascii="Calibri" w:hAnsi="Calibri" w:cs="Calibri"/>
                <w:lang w:val="pt-PT"/>
              </w:rPr>
            </w:pPr>
            <w:r w:rsidRPr="00060425">
              <w:rPr>
                <w:rFonts w:ascii="Calibri" w:hAnsi="Calibri" w:cs="Calibri"/>
                <w:lang w:val="pt-PT"/>
              </w:rPr>
              <w:t>Episódio de transmissão generalizada entre pessoas sentadas a mais de 2 m</w:t>
            </w:r>
          </w:p>
        </w:tc>
      </w:tr>
      <w:tr w:rsidR="004A568A" w:rsidRPr="00CD0A99" w:rsidTr="00CA6A94">
        <w:tc>
          <w:tcPr>
            <w:tcW w:w="2425" w:type="dxa"/>
          </w:tcPr>
          <w:p w:rsidR="004A568A" w:rsidRPr="00060425" w:rsidRDefault="000E6B93" w:rsidP="00EC4BDB">
            <w:pPr>
              <w:jc w:val="both"/>
              <w:rPr>
                <w:rFonts w:ascii="Calibri" w:hAnsi="Calibri" w:cs="Calibri"/>
                <w:lang w:val="pt-PT"/>
              </w:rPr>
            </w:pPr>
            <w:proofErr w:type="spellStart"/>
            <w:r w:rsidRPr="00060425">
              <w:rPr>
                <w:rFonts w:ascii="Calibri" w:hAnsi="Calibri" w:cs="Calibri"/>
                <w:lang w:val="pt-PT"/>
              </w:rPr>
              <w:t>Mendell</w:t>
            </w:r>
            <w:proofErr w:type="spellEnd"/>
            <w:r w:rsidRPr="00060425">
              <w:rPr>
                <w:rFonts w:ascii="Calibri" w:hAnsi="Calibri" w:cs="Calibri"/>
                <w:lang w:val="pt-PT"/>
              </w:rPr>
              <w:t xml:space="preserve"> </w:t>
            </w:r>
            <w:proofErr w:type="spellStart"/>
            <w:r w:rsidRPr="00060425">
              <w:rPr>
                <w:rFonts w:ascii="Calibri" w:hAnsi="Calibri" w:cs="Calibri"/>
                <w:lang w:val="pt-PT"/>
              </w:rPr>
              <w:t>et</w:t>
            </w:r>
            <w:proofErr w:type="spellEnd"/>
            <w:r w:rsidRPr="00060425">
              <w:rPr>
                <w:rFonts w:ascii="Calibri" w:hAnsi="Calibri" w:cs="Calibri"/>
                <w:lang w:val="pt-PT"/>
              </w:rPr>
              <w:t xml:space="preserve"> al. (2002)</w:t>
            </w:r>
          </w:p>
        </w:tc>
        <w:tc>
          <w:tcPr>
            <w:tcW w:w="1170" w:type="dxa"/>
          </w:tcPr>
          <w:p w:rsidR="004A568A" w:rsidRPr="00060425" w:rsidRDefault="000E6B93" w:rsidP="00EC4BDB">
            <w:pPr>
              <w:jc w:val="both"/>
              <w:rPr>
                <w:rFonts w:ascii="Calibri" w:hAnsi="Calibri" w:cs="Calibri"/>
                <w:lang w:val="pt-PT"/>
              </w:rPr>
            </w:pPr>
            <w:proofErr w:type="gramStart"/>
            <w:r w:rsidRPr="00060425">
              <w:rPr>
                <w:rFonts w:ascii="Calibri" w:hAnsi="Calibri" w:cs="Calibri"/>
                <w:lang w:val="pt-PT"/>
              </w:rPr>
              <w:t>vários</w:t>
            </w:r>
            <w:proofErr w:type="gramEnd"/>
          </w:p>
        </w:tc>
        <w:tc>
          <w:tcPr>
            <w:tcW w:w="1710" w:type="dxa"/>
          </w:tcPr>
          <w:p w:rsidR="004A568A" w:rsidRPr="00060425" w:rsidRDefault="000E6B93" w:rsidP="00EC4BDB">
            <w:pPr>
              <w:jc w:val="both"/>
              <w:rPr>
                <w:rFonts w:ascii="Calibri" w:hAnsi="Calibri" w:cs="Calibri"/>
                <w:lang w:val="pt-PT"/>
              </w:rPr>
            </w:pPr>
            <w:r w:rsidRPr="00060425">
              <w:rPr>
                <w:rFonts w:ascii="Calibri" w:hAnsi="Calibri" w:cs="Calibri"/>
                <w:lang w:val="pt-PT"/>
              </w:rPr>
              <w:t>Edifícios militares</w:t>
            </w:r>
          </w:p>
        </w:tc>
        <w:tc>
          <w:tcPr>
            <w:tcW w:w="4140" w:type="dxa"/>
          </w:tcPr>
          <w:p w:rsidR="004A568A" w:rsidRPr="00060425" w:rsidRDefault="000E6B93" w:rsidP="00EC4BDB">
            <w:pPr>
              <w:jc w:val="both"/>
              <w:rPr>
                <w:rFonts w:ascii="Calibri" w:hAnsi="Calibri" w:cs="Calibri"/>
                <w:lang w:val="pt-PT"/>
              </w:rPr>
            </w:pPr>
            <w:r w:rsidRPr="00060425">
              <w:rPr>
                <w:rFonts w:ascii="Calibri" w:hAnsi="Calibri" w:cs="Calibri"/>
                <w:lang w:val="pt-PT"/>
              </w:rPr>
              <w:t xml:space="preserve">Influência da recirculação de ar na incidência de doenças </w:t>
            </w:r>
            <w:r w:rsidR="002B1CF9" w:rsidRPr="00060425">
              <w:rPr>
                <w:rFonts w:ascii="Calibri" w:hAnsi="Calibri" w:cs="Calibri"/>
                <w:lang w:val="pt-PT"/>
              </w:rPr>
              <w:t>infeciosas</w:t>
            </w:r>
          </w:p>
        </w:tc>
      </w:tr>
      <w:tr w:rsidR="004A568A" w:rsidRPr="00CD0A99" w:rsidTr="00CA6A94">
        <w:tc>
          <w:tcPr>
            <w:tcW w:w="2425" w:type="dxa"/>
          </w:tcPr>
          <w:p w:rsidR="004A568A" w:rsidRPr="00060425" w:rsidRDefault="001D55D8" w:rsidP="000E6B93">
            <w:pPr>
              <w:jc w:val="both"/>
              <w:rPr>
                <w:rFonts w:ascii="Calibri" w:hAnsi="Calibri" w:cs="Calibri"/>
              </w:rPr>
            </w:pPr>
            <w:r w:rsidRPr="00060425">
              <w:rPr>
                <w:rFonts w:ascii="Calibri" w:hAnsi="Calibri" w:cs="Calibri"/>
              </w:rPr>
              <w:t xml:space="preserve">Yu et </w:t>
            </w:r>
            <w:r w:rsidR="002B1CF9" w:rsidRPr="00060425">
              <w:rPr>
                <w:rFonts w:ascii="Calibri" w:hAnsi="Calibri" w:cs="Calibri"/>
              </w:rPr>
              <w:t>al (2005</w:t>
            </w:r>
            <w:r w:rsidRPr="00060425">
              <w:rPr>
                <w:rFonts w:ascii="Calibri" w:hAnsi="Calibri" w:cs="Calibri"/>
              </w:rPr>
              <w:t>), Li et al (2005</w:t>
            </w:r>
            <w:r w:rsidR="000E6B93" w:rsidRPr="00060425">
              <w:rPr>
                <w:rFonts w:ascii="Calibri" w:hAnsi="Calibri" w:cs="Calibri"/>
              </w:rPr>
              <w:t>)</w:t>
            </w:r>
          </w:p>
        </w:tc>
        <w:tc>
          <w:tcPr>
            <w:tcW w:w="1170" w:type="dxa"/>
          </w:tcPr>
          <w:p w:rsidR="004A568A" w:rsidRPr="00060425" w:rsidRDefault="001D55D8" w:rsidP="00EC4BDB">
            <w:pPr>
              <w:jc w:val="both"/>
              <w:rPr>
                <w:rFonts w:ascii="Calibri" w:hAnsi="Calibri" w:cs="Calibri"/>
                <w:lang w:val="pt-PT"/>
              </w:rPr>
            </w:pPr>
            <w:r w:rsidRPr="00060425">
              <w:rPr>
                <w:rFonts w:ascii="Calibri" w:hAnsi="Calibri" w:cs="Calibri"/>
                <w:lang w:val="pt-PT"/>
              </w:rPr>
              <w:t>SARS</w:t>
            </w:r>
          </w:p>
        </w:tc>
        <w:tc>
          <w:tcPr>
            <w:tcW w:w="1710" w:type="dxa"/>
          </w:tcPr>
          <w:p w:rsidR="004A568A" w:rsidRPr="00060425" w:rsidRDefault="001D55D8" w:rsidP="00EC4BDB">
            <w:pPr>
              <w:jc w:val="both"/>
              <w:rPr>
                <w:rFonts w:ascii="Calibri" w:hAnsi="Calibri" w:cs="Calibri"/>
              </w:rPr>
            </w:pPr>
            <w:r w:rsidRPr="00060425">
              <w:rPr>
                <w:rFonts w:ascii="Calibri" w:hAnsi="Calibri" w:cs="Calibri"/>
              </w:rPr>
              <w:t>Amoy Gardens building park</w:t>
            </w:r>
            <w:r w:rsidR="000E6B93" w:rsidRPr="00060425">
              <w:rPr>
                <w:rFonts w:ascii="Calibri" w:hAnsi="Calibri" w:cs="Calibri"/>
              </w:rPr>
              <w:t xml:space="preserve"> (Hong-Kong)</w:t>
            </w:r>
          </w:p>
        </w:tc>
        <w:tc>
          <w:tcPr>
            <w:tcW w:w="4140" w:type="dxa"/>
          </w:tcPr>
          <w:p w:rsidR="004A568A" w:rsidRPr="00060425" w:rsidRDefault="001D55D8" w:rsidP="00EC4BDB">
            <w:pPr>
              <w:jc w:val="both"/>
              <w:rPr>
                <w:rFonts w:ascii="Calibri" w:hAnsi="Calibri" w:cs="Calibri"/>
                <w:lang w:val="pt-PT"/>
              </w:rPr>
            </w:pPr>
            <w:r w:rsidRPr="00060425">
              <w:rPr>
                <w:rFonts w:ascii="Calibri" w:hAnsi="Calibri" w:cs="Calibri"/>
                <w:lang w:val="pt-PT"/>
              </w:rPr>
              <w:t>Transmissão para prédios vizinhos a partir de exaustão de casas de banho</w:t>
            </w:r>
          </w:p>
        </w:tc>
      </w:tr>
      <w:tr w:rsidR="000E6B93" w:rsidRPr="00CD0A99" w:rsidTr="00CA6A94">
        <w:tc>
          <w:tcPr>
            <w:tcW w:w="2425" w:type="dxa"/>
          </w:tcPr>
          <w:p w:rsidR="000E6B93" w:rsidRPr="00060425" w:rsidRDefault="000E6B93" w:rsidP="00EC4BDB">
            <w:pPr>
              <w:jc w:val="both"/>
              <w:rPr>
                <w:rFonts w:ascii="Calibri" w:hAnsi="Calibri" w:cs="Calibri"/>
                <w:lang w:val="pt-PT"/>
              </w:rPr>
            </w:pPr>
            <w:r w:rsidRPr="00060425">
              <w:rPr>
                <w:rFonts w:ascii="Calibri" w:hAnsi="Calibri" w:cs="Calibri"/>
                <w:lang w:val="pt-PT"/>
              </w:rPr>
              <w:t xml:space="preserve">Li </w:t>
            </w:r>
            <w:proofErr w:type="spellStart"/>
            <w:r w:rsidRPr="00060425">
              <w:rPr>
                <w:rFonts w:ascii="Calibri" w:hAnsi="Calibri" w:cs="Calibri"/>
                <w:lang w:val="pt-PT"/>
              </w:rPr>
              <w:t>et</w:t>
            </w:r>
            <w:proofErr w:type="spellEnd"/>
            <w:r w:rsidRPr="00060425">
              <w:rPr>
                <w:rFonts w:ascii="Calibri" w:hAnsi="Calibri" w:cs="Calibri"/>
                <w:lang w:val="pt-PT"/>
              </w:rPr>
              <w:t xml:space="preserve"> al. (2005b)</w:t>
            </w:r>
          </w:p>
        </w:tc>
        <w:tc>
          <w:tcPr>
            <w:tcW w:w="1170" w:type="dxa"/>
          </w:tcPr>
          <w:p w:rsidR="000E6B93" w:rsidRPr="00060425" w:rsidRDefault="000E6B93" w:rsidP="00EC4BDB">
            <w:pPr>
              <w:jc w:val="both"/>
              <w:rPr>
                <w:rFonts w:ascii="Calibri" w:hAnsi="Calibri" w:cs="Calibri"/>
                <w:lang w:val="pt-PT"/>
              </w:rPr>
            </w:pPr>
            <w:r w:rsidRPr="00060425">
              <w:rPr>
                <w:rFonts w:ascii="Calibri" w:hAnsi="Calibri" w:cs="Calibri"/>
                <w:lang w:val="pt-PT"/>
              </w:rPr>
              <w:t>SARS</w:t>
            </w:r>
          </w:p>
        </w:tc>
        <w:tc>
          <w:tcPr>
            <w:tcW w:w="1710" w:type="dxa"/>
          </w:tcPr>
          <w:p w:rsidR="000E6B93" w:rsidRPr="00060425" w:rsidRDefault="000E6B93" w:rsidP="00EC4BDB">
            <w:pPr>
              <w:jc w:val="both"/>
              <w:rPr>
                <w:rFonts w:ascii="Calibri" w:hAnsi="Calibri" w:cs="Calibri"/>
              </w:rPr>
            </w:pPr>
            <w:r w:rsidRPr="00060425">
              <w:rPr>
                <w:rFonts w:ascii="Calibri" w:hAnsi="Calibri" w:cs="Calibri"/>
              </w:rPr>
              <w:t>Prince of Wales Hospital, Hong-Kong</w:t>
            </w:r>
          </w:p>
        </w:tc>
        <w:tc>
          <w:tcPr>
            <w:tcW w:w="4140" w:type="dxa"/>
          </w:tcPr>
          <w:p w:rsidR="000E6B93" w:rsidRPr="00060425" w:rsidRDefault="000E6B93" w:rsidP="00EC4BDB">
            <w:pPr>
              <w:jc w:val="both"/>
              <w:rPr>
                <w:rFonts w:ascii="Calibri" w:hAnsi="Calibri" w:cs="Calibri"/>
                <w:lang w:val="pt-PT"/>
              </w:rPr>
            </w:pPr>
            <w:r w:rsidRPr="00060425">
              <w:rPr>
                <w:rFonts w:ascii="Calibri" w:hAnsi="Calibri" w:cs="Calibri"/>
                <w:lang w:val="pt-PT"/>
              </w:rPr>
              <w:t>Padrão de contaminação em enfermaria do hospital fortemente correlacionado com padrão de escoamento da ventilação</w:t>
            </w:r>
          </w:p>
        </w:tc>
      </w:tr>
      <w:tr w:rsidR="004A568A" w:rsidRPr="00CD0A99" w:rsidTr="00CA6A94">
        <w:tc>
          <w:tcPr>
            <w:tcW w:w="2425" w:type="dxa"/>
          </w:tcPr>
          <w:p w:rsidR="004A568A" w:rsidRPr="00060425" w:rsidRDefault="001D55D8" w:rsidP="00EC4BDB">
            <w:pPr>
              <w:jc w:val="both"/>
              <w:rPr>
                <w:rFonts w:ascii="Calibri" w:hAnsi="Calibri" w:cs="Calibri"/>
                <w:lang w:val="pt-PT"/>
              </w:rPr>
            </w:pPr>
            <w:proofErr w:type="spellStart"/>
            <w:r w:rsidRPr="00060425">
              <w:rPr>
                <w:rFonts w:ascii="Calibri" w:hAnsi="Calibri" w:cs="Calibri"/>
                <w:lang w:val="pt-PT"/>
              </w:rPr>
              <w:t>Sun</w:t>
            </w:r>
            <w:proofErr w:type="spellEnd"/>
            <w:r w:rsidRPr="00060425">
              <w:rPr>
                <w:rFonts w:ascii="Calibri" w:hAnsi="Calibri" w:cs="Calibri"/>
                <w:lang w:val="pt-PT"/>
              </w:rPr>
              <w:t xml:space="preserve"> </w:t>
            </w:r>
            <w:proofErr w:type="spellStart"/>
            <w:r w:rsidRPr="00060425">
              <w:rPr>
                <w:rFonts w:ascii="Calibri" w:hAnsi="Calibri" w:cs="Calibri"/>
                <w:lang w:val="pt-PT"/>
              </w:rPr>
              <w:t>et</w:t>
            </w:r>
            <w:proofErr w:type="spellEnd"/>
            <w:r w:rsidRPr="00060425">
              <w:rPr>
                <w:rFonts w:ascii="Calibri" w:hAnsi="Calibri" w:cs="Calibri"/>
                <w:lang w:val="pt-PT"/>
              </w:rPr>
              <w:t xml:space="preserve"> al. (2011)</w:t>
            </w:r>
          </w:p>
        </w:tc>
        <w:tc>
          <w:tcPr>
            <w:tcW w:w="1170" w:type="dxa"/>
          </w:tcPr>
          <w:p w:rsidR="004A568A" w:rsidRPr="00060425" w:rsidRDefault="001D55D8" w:rsidP="00EC4BDB">
            <w:pPr>
              <w:jc w:val="both"/>
              <w:rPr>
                <w:rFonts w:ascii="Calibri" w:hAnsi="Calibri" w:cs="Calibri"/>
                <w:lang w:val="pt-PT"/>
              </w:rPr>
            </w:pPr>
            <w:r w:rsidRPr="00060425">
              <w:rPr>
                <w:rFonts w:ascii="Calibri" w:hAnsi="Calibri" w:cs="Calibri"/>
                <w:lang w:val="pt-PT"/>
              </w:rPr>
              <w:t>Influenza</w:t>
            </w:r>
          </w:p>
        </w:tc>
        <w:tc>
          <w:tcPr>
            <w:tcW w:w="1710" w:type="dxa"/>
          </w:tcPr>
          <w:p w:rsidR="004A568A" w:rsidRPr="00060425" w:rsidRDefault="001D55D8" w:rsidP="00EC4BDB">
            <w:pPr>
              <w:jc w:val="both"/>
              <w:rPr>
                <w:rFonts w:ascii="Calibri" w:hAnsi="Calibri" w:cs="Calibri"/>
                <w:lang w:val="pt-PT"/>
              </w:rPr>
            </w:pPr>
            <w:r w:rsidRPr="00060425">
              <w:rPr>
                <w:rFonts w:ascii="Calibri" w:hAnsi="Calibri" w:cs="Calibri"/>
                <w:lang w:val="pt-PT"/>
              </w:rPr>
              <w:t>Dormitórios de Estudantes</w:t>
            </w:r>
          </w:p>
        </w:tc>
        <w:tc>
          <w:tcPr>
            <w:tcW w:w="4140" w:type="dxa"/>
          </w:tcPr>
          <w:p w:rsidR="004A568A" w:rsidRPr="00060425" w:rsidRDefault="001D55D8" w:rsidP="00EC4BDB">
            <w:pPr>
              <w:jc w:val="both"/>
              <w:rPr>
                <w:rFonts w:ascii="Calibri" w:hAnsi="Calibri" w:cs="Calibri"/>
                <w:lang w:val="pt-PT"/>
              </w:rPr>
            </w:pPr>
            <w:r w:rsidRPr="00060425">
              <w:rPr>
                <w:rFonts w:ascii="Calibri" w:hAnsi="Calibri" w:cs="Calibri"/>
                <w:lang w:val="pt-PT"/>
              </w:rPr>
              <w:t>Redução de 35% de infetados para 5%, devido a caudal de renovação de ar</w:t>
            </w:r>
          </w:p>
        </w:tc>
      </w:tr>
    </w:tbl>
    <w:p w:rsidR="002F3DFF" w:rsidRDefault="002F3DFF" w:rsidP="00CE4B32">
      <w:pPr>
        <w:jc w:val="both"/>
        <w:rPr>
          <w:rFonts w:ascii="Calibri" w:hAnsi="Calibri" w:cs="Calibri"/>
          <w:color w:val="1F497D"/>
          <w:lang w:val="pt-PT"/>
        </w:rPr>
      </w:pPr>
    </w:p>
    <w:p w:rsidR="00CA6A94" w:rsidRPr="00060425" w:rsidRDefault="00CA6A94" w:rsidP="00CE4B32">
      <w:pPr>
        <w:jc w:val="both"/>
        <w:rPr>
          <w:rFonts w:ascii="Calibri" w:hAnsi="Calibri" w:cs="Calibri"/>
          <w:lang w:val="pt-PT"/>
        </w:rPr>
      </w:pPr>
      <w:r w:rsidRPr="00060425">
        <w:rPr>
          <w:rFonts w:ascii="Calibri" w:hAnsi="Calibri" w:cs="Calibri"/>
          <w:lang w:val="pt-PT"/>
        </w:rPr>
        <w:t xml:space="preserve">Num artigo publicado na revista Indoor </w:t>
      </w:r>
      <w:proofErr w:type="spellStart"/>
      <w:r w:rsidRPr="00060425">
        <w:rPr>
          <w:rFonts w:ascii="Calibri" w:hAnsi="Calibri" w:cs="Calibri"/>
          <w:lang w:val="pt-PT"/>
        </w:rPr>
        <w:t>Air</w:t>
      </w:r>
      <w:proofErr w:type="spellEnd"/>
      <w:r w:rsidRPr="00060425">
        <w:rPr>
          <w:rFonts w:ascii="Calibri" w:hAnsi="Calibri" w:cs="Calibri"/>
          <w:lang w:val="pt-PT"/>
        </w:rPr>
        <w:t xml:space="preserve">, por Li </w:t>
      </w:r>
      <w:proofErr w:type="spellStart"/>
      <w:r w:rsidRPr="00060425">
        <w:rPr>
          <w:rFonts w:ascii="Calibri" w:hAnsi="Calibri" w:cs="Calibri"/>
          <w:lang w:val="pt-PT"/>
        </w:rPr>
        <w:t>et</w:t>
      </w:r>
      <w:proofErr w:type="spellEnd"/>
      <w:r w:rsidRPr="00060425">
        <w:rPr>
          <w:rFonts w:ascii="Calibri" w:hAnsi="Calibri" w:cs="Calibri"/>
          <w:lang w:val="pt-PT"/>
        </w:rPr>
        <w:t xml:space="preserve"> al. (2007), um grupo de especialistas de vários países, fez uma análise multidisciplinar sistemática de 40 artigos sobre o papel da transmissão por partículas em suspensão, publicados entre 1960 e 2005, tendo considerado que </w:t>
      </w:r>
      <w:r w:rsidR="00F335BC" w:rsidRPr="00060425">
        <w:rPr>
          <w:rFonts w:ascii="Calibri" w:hAnsi="Calibri" w:cs="Calibri"/>
          <w:lang w:val="pt-PT"/>
        </w:rPr>
        <w:t>10 dos 40 artigos eram conclusivos, havendo uma evidência forte da relação entre a ventilação dos edifícios e a transmissão/disseminação através de partículas em suspensão de doenças como o sarampo, a tuberculose, a varíola, a gripe, a gripe das aves, e a SARS.</w:t>
      </w:r>
    </w:p>
    <w:p w:rsidR="00C632AA" w:rsidRPr="00C632AA" w:rsidRDefault="00283409" w:rsidP="00CE4B32">
      <w:pPr>
        <w:jc w:val="both"/>
        <w:rPr>
          <w:lang w:val="pt-PT"/>
        </w:rPr>
      </w:pPr>
      <w:r>
        <w:rPr>
          <w:lang w:val="pt-PT"/>
        </w:rPr>
        <w:t xml:space="preserve">Numa tentativa de explicar as diferenças ao nível da taxa de propagação entre a SARS-1 e a SARS-2 (COVID-19) vários autores americanos realizaram um estudo comparativo em termos da sobrevivência dos dois tipos de vírus em diferentes ambientes e superfícies. </w:t>
      </w:r>
      <w:r w:rsidR="00CE4B32">
        <w:rPr>
          <w:lang w:val="pt-PT"/>
        </w:rPr>
        <w:t>Em</w:t>
      </w:r>
      <w:r w:rsidR="00CE4B32" w:rsidRPr="00CE4B32">
        <w:rPr>
          <w:lang w:val="pt-PT"/>
        </w:rPr>
        <w:t xml:space="preserve"> 17 de Março de 2020, numa carta ao editor do N</w:t>
      </w:r>
      <w:r>
        <w:rPr>
          <w:lang w:val="pt-PT"/>
        </w:rPr>
        <w:t xml:space="preserve">ew </w:t>
      </w:r>
      <w:proofErr w:type="spellStart"/>
      <w:r>
        <w:rPr>
          <w:lang w:val="pt-PT"/>
        </w:rPr>
        <w:t>England</w:t>
      </w:r>
      <w:proofErr w:type="spellEnd"/>
      <w:r>
        <w:rPr>
          <w:lang w:val="pt-PT"/>
        </w:rPr>
        <w:t xml:space="preserve"> </w:t>
      </w:r>
      <w:proofErr w:type="spellStart"/>
      <w:r>
        <w:rPr>
          <w:lang w:val="pt-PT"/>
        </w:rPr>
        <w:t>Journal</w:t>
      </w:r>
      <w:proofErr w:type="spellEnd"/>
      <w:r>
        <w:rPr>
          <w:lang w:val="pt-PT"/>
        </w:rPr>
        <w:t xml:space="preserve"> </w:t>
      </w:r>
      <w:proofErr w:type="spellStart"/>
      <w:r>
        <w:rPr>
          <w:lang w:val="pt-PT"/>
        </w:rPr>
        <w:t>of</w:t>
      </w:r>
      <w:proofErr w:type="spellEnd"/>
      <w:r>
        <w:rPr>
          <w:lang w:val="pt-PT"/>
        </w:rPr>
        <w:t xml:space="preserve"> Medicine referem q</w:t>
      </w:r>
      <w:r w:rsidR="00CE4B32" w:rsidRPr="00CE4B32">
        <w:rPr>
          <w:lang w:val="pt-PT"/>
        </w:rPr>
        <w:t xml:space="preserve">ue </w:t>
      </w:r>
      <w:r>
        <w:rPr>
          <w:lang w:val="pt-PT"/>
        </w:rPr>
        <w:t>ambos</w:t>
      </w:r>
      <w:r w:rsidR="00CE4B32" w:rsidRPr="00CE4B32">
        <w:rPr>
          <w:lang w:val="pt-PT"/>
        </w:rPr>
        <w:t xml:space="preserve"> permanece</w:t>
      </w:r>
      <w:r>
        <w:rPr>
          <w:lang w:val="pt-PT"/>
        </w:rPr>
        <w:t xml:space="preserve">m viáveis </w:t>
      </w:r>
      <w:r w:rsidR="00CE4B32" w:rsidRPr="00CE4B32">
        <w:rPr>
          <w:lang w:val="pt-PT"/>
        </w:rPr>
        <w:t>e infecioso</w:t>
      </w:r>
      <w:r>
        <w:rPr>
          <w:lang w:val="pt-PT"/>
        </w:rPr>
        <w:t>s</w:t>
      </w:r>
      <w:r w:rsidR="00CE4B32" w:rsidRPr="00CE4B32">
        <w:rPr>
          <w:lang w:val="pt-PT"/>
        </w:rPr>
        <w:t xml:space="preserve"> por mais de 3 horas em aerossóis</w:t>
      </w:r>
      <w:r w:rsidR="00CE4B32">
        <w:rPr>
          <w:lang w:val="pt-PT"/>
        </w:rPr>
        <w:t>.</w:t>
      </w:r>
      <w:r w:rsidR="00094345">
        <w:rPr>
          <w:lang w:val="pt-PT"/>
        </w:rPr>
        <w:t xml:space="preserve"> </w:t>
      </w:r>
    </w:p>
    <w:p w:rsidR="005F616A" w:rsidRPr="00060425" w:rsidRDefault="00C632AA" w:rsidP="00C632AA">
      <w:pPr>
        <w:jc w:val="both"/>
        <w:rPr>
          <w:rFonts w:ascii="Calibri" w:hAnsi="Calibri" w:cs="Calibri"/>
          <w:lang w:val="pt-PT"/>
        </w:rPr>
      </w:pPr>
      <w:r w:rsidRPr="00C632AA">
        <w:rPr>
          <w:lang w:val="pt-PT"/>
        </w:rPr>
        <w:t xml:space="preserve"> </w:t>
      </w:r>
      <w:r w:rsidR="00283409">
        <w:rPr>
          <w:lang w:val="pt-PT"/>
        </w:rPr>
        <w:t>Na sequência destas informações, a Organização Mundial de Saúde (OMS) considerou que devem ser tomadas “precauções relativamente a partículas em suspensão” por parte dos profissionais de saúde. A Diretora da Divisão de Doenças Urgentes</w:t>
      </w:r>
      <w:r w:rsidR="00283409" w:rsidRPr="00060425">
        <w:rPr>
          <w:lang w:val="pt-PT"/>
        </w:rPr>
        <w:t xml:space="preserve">, </w:t>
      </w:r>
      <w:r w:rsidR="00283409" w:rsidRPr="00060425">
        <w:rPr>
          <w:rFonts w:ascii="Calibri" w:hAnsi="Calibri" w:cs="Calibri"/>
          <w:lang w:val="pt-PT"/>
        </w:rPr>
        <w:t>Dr. Maria Van </w:t>
      </w:r>
      <w:proofErr w:type="spellStart"/>
      <w:r w:rsidR="00283409" w:rsidRPr="00060425">
        <w:rPr>
          <w:rFonts w:ascii="Calibri" w:hAnsi="Calibri" w:cs="Calibri"/>
          <w:lang w:val="pt-PT"/>
        </w:rPr>
        <w:t>Kerkhove</w:t>
      </w:r>
      <w:proofErr w:type="spellEnd"/>
      <w:r w:rsidR="00283409" w:rsidRPr="00060425">
        <w:rPr>
          <w:rFonts w:ascii="Calibri" w:hAnsi="Calibri" w:cs="Calibri"/>
          <w:lang w:val="pt-PT"/>
        </w:rPr>
        <w:t xml:space="preserve">, informou </w:t>
      </w:r>
      <w:r w:rsidR="005F616A" w:rsidRPr="00060425">
        <w:rPr>
          <w:rFonts w:ascii="Calibri" w:hAnsi="Calibri" w:cs="Calibri"/>
          <w:lang w:val="pt-PT"/>
        </w:rPr>
        <w:t>os media</w:t>
      </w:r>
      <w:r w:rsidR="00283409" w:rsidRPr="00060425">
        <w:rPr>
          <w:rFonts w:ascii="Calibri" w:hAnsi="Calibri" w:cs="Calibri"/>
          <w:lang w:val="pt-PT"/>
        </w:rPr>
        <w:t xml:space="preserve"> durante uma conferência de imprensa</w:t>
      </w:r>
      <w:r w:rsidR="005F616A" w:rsidRPr="00060425">
        <w:rPr>
          <w:rFonts w:ascii="Calibri" w:hAnsi="Calibri" w:cs="Calibri"/>
          <w:lang w:val="pt-PT"/>
        </w:rPr>
        <w:t xml:space="preserve">, no dia 23 de Março de 2020 que “Quando se executa um procedimento clínico que gera aerossóis numa unidade de prestação de cuidados de saúde, há a possibilidade de aerossolizar essas partículas, o que significa que elas podem permanecer no ar um pouco mais de tempo”. </w:t>
      </w:r>
    </w:p>
    <w:p w:rsidR="00C632AA" w:rsidRPr="00060425" w:rsidRDefault="005F616A" w:rsidP="00C632AA">
      <w:pPr>
        <w:jc w:val="both"/>
        <w:rPr>
          <w:rFonts w:ascii="Calibri" w:hAnsi="Calibri" w:cs="Calibri"/>
          <w:lang w:val="pt-PT"/>
        </w:rPr>
      </w:pPr>
      <w:r w:rsidRPr="00060425">
        <w:rPr>
          <w:rFonts w:ascii="Calibri" w:hAnsi="Calibri" w:cs="Calibri"/>
          <w:lang w:val="pt-PT"/>
        </w:rPr>
        <w:lastRenderedPageBreak/>
        <w:t>Acrescentou: “É muito importante que os trabalhadores da saúde tomem precauções adicionais quando estiverem a trabalhar com pacientes e façam este tipo de procedimentos”.</w:t>
      </w:r>
    </w:p>
    <w:p w:rsidR="00060425" w:rsidRDefault="005F616A" w:rsidP="00B3447F">
      <w:pPr>
        <w:jc w:val="both"/>
        <w:rPr>
          <w:lang w:val="pt-PT"/>
        </w:rPr>
      </w:pPr>
      <w:r>
        <w:rPr>
          <w:lang w:val="pt-PT"/>
        </w:rPr>
        <w:t>Não se compreende que</w:t>
      </w:r>
      <w:r w:rsidR="00060425">
        <w:rPr>
          <w:lang w:val="pt-PT"/>
        </w:rPr>
        <w:t>,</w:t>
      </w:r>
      <w:r>
        <w:rPr>
          <w:lang w:val="pt-PT"/>
        </w:rPr>
        <w:t xml:space="preserve"> ao nível da cúpula diretiva da OMS</w:t>
      </w:r>
      <w:r w:rsidR="00060425">
        <w:rPr>
          <w:lang w:val="pt-PT"/>
        </w:rPr>
        <w:t>,</w:t>
      </w:r>
      <w:r>
        <w:rPr>
          <w:lang w:val="pt-PT"/>
        </w:rPr>
        <w:t xml:space="preserve"> não haja a perceção de que a aerossolização não ocorre só na realização de</w:t>
      </w:r>
      <w:r w:rsidR="00060425">
        <w:rPr>
          <w:lang w:val="pt-PT"/>
        </w:rPr>
        <w:t xml:space="preserve"> a</w:t>
      </w:r>
      <w:r>
        <w:rPr>
          <w:lang w:val="pt-PT"/>
        </w:rPr>
        <w:t>tos clínicos com algum tipo de equipamento</w:t>
      </w:r>
      <w:r w:rsidR="00060425">
        <w:rPr>
          <w:lang w:val="pt-PT"/>
        </w:rPr>
        <w:t xml:space="preserve">s em ambiente hospitalar, mas ocorre também de forma natural nos processos relacionados com o sistema respiratório de uma pessoa (tosse, espirros, verbalização, respiração, etc.). </w:t>
      </w:r>
    </w:p>
    <w:p w:rsidR="005F616A" w:rsidRDefault="00BE5F82" w:rsidP="00B3447F">
      <w:pPr>
        <w:jc w:val="both"/>
        <w:rPr>
          <w:lang w:val="pt-PT"/>
        </w:rPr>
      </w:pPr>
      <w:r>
        <w:rPr>
          <w:lang w:val="pt-PT"/>
        </w:rPr>
        <w:t>Assim, as implicações</w:t>
      </w:r>
      <w:r w:rsidR="00060425">
        <w:rPr>
          <w:lang w:val="pt-PT"/>
        </w:rPr>
        <w:t xml:space="preserve"> </w:t>
      </w:r>
      <w:r>
        <w:rPr>
          <w:lang w:val="pt-PT"/>
        </w:rPr>
        <w:t>do conhecimento recente</w:t>
      </w:r>
      <w:r w:rsidR="00060425">
        <w:rPr>
          <w:lang w:val="pt-PT"/>
        </w:rPr>
        <w:t xml:space="preserve"> sobre a persistência do COVID-19 em aerossóis deveriam ser muito mais vastas, nomeadamente, em termos da redefinição do conceito de distânci</w:t>
      </w:r>
      <w:r w:rsidR="002E69BA">
        <w:rPr>
          <w:lang w:val="pt-PT"/>
        </w:rPr>
        <w:t xml:space="preserve">a de segurança entre pessoas e </w:t>
      </w:r>
      <w:r w:rsidR="00060425">
        <w:rPr>
          <w:lang w:val="pt-PT"/>
        </w:rPr>
        <w:t>a necessidade de uso generalizado de equipamentos de proteção das vias aéreas superiores (máscaras e viseiras) sempre que se preveja que se vai estar num ambiente com ocupação múltipla.</w:t>
      </w:r>
    </w:p>
    <w:p w:rsidR="00060425" w:rsidRPr="001F708D" w:rsidRDefault="00060425" w:rsidP="00B3447F">
      <w:pPr>
        <w:jc w:val="both"/>
        <w:rPr>
          <w:lang w:val="pt-PT"/>
        </w:rPr>
      </w:pPr>
      <w:r>
        <w:rPr>
          <w:lang w:val="pt-PT"/>
        </w:rPr>
        <w:t xml:space="preserve">Analisando, por exemplo, a distribuição por tamanhos das gotas que são emitidas </w:t>
      </w:r>
      <w:r w:rsidR="006E6B0F">
        <w:rPr>
          <w:lang w:val="pt-PT"/>
        </w:rPr>
        <w:t xml:space="preserve">quando uma pessoa </w:t>
      </w:r>
      <w:r w:rsidR="00BE5F82">
        <w:rPr>
          <w:lang w:val="pt-PT"/>
        </w:rPr>
        <w:t xml:space="preserve">com </w:t>
      </w:r>
      <w:r w:rsidR="006E6B0F">
        <w:rPr>
          <w:lang w:val="pt-PT"/>
        </w:rPr>
        <w:t>tosse (</w:t>
      </w:r>
      <w:proofErr w:type="spellStart"/>
      <w:r w:rsidR="006E6B0F">
        <w:rPr>
          <w:lang w:val="pt-PT"/>
        </w:rPr>
        <w:t>Bourouiba</w:t>
      </w:r>
      <w:proofErr w:type="spellEnd"/>
      <w:r w:rsidR="006E6B0F">
        <w:rPr>
          <w:lang w:val="pt-PT"/>
        </w:rPr>
        <w:t xml:space="preserve"> </w:t>
      </w:r>
      <w:proofErr w:type="spellStart"/>
      <w:r w:rsidR="006E6B0F">
        <w:rPr>
          <w:lang w:val="pt-PT"/>
        </w:rPr>
        <w:t>et</w:t>
      </w:r>
      <w:proofErr w:type="spellEnd"/>
      <w:r w:rsidR="006E6B0F">
        <w:rPr>
          <w:lang w:val="pt-PT"/>
        </w:rPr>
        <w:t xml:space="preserve"> al. (2014)), apresentada na figura 7, verifica-se que uma parte importante tem potencial para aerossolizar porque</w:t>
      </w:r>
      <w:r w:rsidR="00BE5F82">
        <w:rPr>
          <w:lang w:val="pt-PT"/>
        </w:rPr>
        <w:t>,</w:t>
      </w:r>
      <w:r w:rsidR="006E6B0F">
        <w:rPr>
          <w:lang w:val="pt-PT"/>
        </w:rPr>
        <w:t xml:space="preserve"> com a perda de água por evaporação</w:t>
      </w:r>
      <w:r w:rsidR="00BE5F82">
        <w:rPr>
          <w:lang w:val="pt-PT"/>
        </w:rPr>
        <w:t>,</w:t>
      </w:r>
      <w:r w:rsidR="006E6B0F">
        <w:rPr>
          <w:lang w:val="pt-PT"/>
        </w:rPr>
        <w:t xml:space="preserve"> até à dimensão no momento da exalação de 16 mm, é expectável que isso aconteça.</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6164"/>
      </w:tblGrid>
      <w:tr w:rsidR="006E6B0F" w:rsidTr="006E6B0F">
        <w:tc>
          <w:tcPr>
            <w:tcW w:w="3193" w:type="dxa"/>
          </w:tcPr>
          <w:p w:rsidR="006E6B0F" w:rsidRDefault="006E6B0F" w:rsidP="00B3447F">
            <w:pPr>
              <w:jc w:val="both"/>
              <w:rPr>
                <w:lang w:val="pt-PT"/>
              </w:rPr>
            </w:pPr>
            <w:r>
              <w:rPr>
                <w:noProof/>
                <w:lang w:val="pt-PT" w:eastAsia="pt-PT"/>
              </w:rPr>
              <w:drawing>
                <wp:inline distT="0" distB="0" distL="0" distR="0" wp14:anchorId="3707A643" wp14:editId="0E4D0F0E">
                  <wp:extent cx="1895126" cy="28254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12865" cy="2851908"/>
                          </a:xfrm>
                          <a:prstGeom prst="rect">
                            <a:avLst/>
                          </a:prstGeom>
                        </pic:spPr>
                      </pic:pic>
                    </a:graphicData>
                  </a:graphic>
                </wp:inline>
              </w:drawing>
            </w:r>
          </w:p>
        </w:tc>
        <w:tc>
          <w:tcPr>
            <w:tcW w:w="6157" w:type="dxa"/>
          </w:tcPr>
          <w:p w:rsidR="006E6B0F" w:rsidRDefault="006E6B0F" w:rsidP="00B3447F">
            <w:pPr>
              <w:jc w:val="both"/>
              <w:rPr>
                <w:lang w:val="pt-PT"/>
              </w:rPr>
            </w:pPr>
            <w:r>
              <w:rPr>
                <w:noProof/>
                <w:lang w:val="pt-PT" w:eastAsia="pt-PT"/>
              </w:rPr>
              <w:drawing>
                <wp:inline distT="0" distB="0" distL="0" distR="0" wp14:anchorId="4B9349CE" wp14:editId="213BD59D">
                  <wp:extent cx="3781425" cy="27326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92330" cy="2740526"/>
                          </a:xfrm>
                          <a:prstGeom prst="rect">
                            <a:avLst/>
                          </a:prstGeom>
                        </pic:spPr>
                      </pic:pic>
                    </a:graphicData>
                  </a:graphic>
                </wp:inline>
              </w:drawing>
            </w:r>
          </w:p>
        </w:tc>
      </w:tr>
      <w:tr w:rsidR="006E6B0F" w:rsidRPr="00CD0A99" w:rsidTr="006E6B0F">
        <w:tc>
          <w:tcPr>
            <w:tcW w:w="9350" w:type="dxa"/>
            <w:gridSpan w:val="2"/>
          </w:tcPr>
          <w:p w:rsidR="006E6B0F" w:rsidRDefault="006E6B0F" w:rsidP="00B3447F">
            <w:pPr>
              <w:jc w:val="both"/>
              <w:rPr>
                <w:lang w:val="pt-PT"/>
              </w:rPr>
            </w:pPr>
            <w:r>
              <w:rPr>
                <w:lang w:val="pt-PT"/>
              </w:rPr>
              <w:t>Figura 7 – Distribuição por classes de dimensão das gotas exaladas na tosse</w:t>
            </w:r>
          </w:p>
        </w:tc>
      </w:tr>
    </w:tbl>
    <w:p w:rsidR="00032699" w:rsidRPr="001F708D" w:rsidRDefault="00032699" w:rsidP="00B3447F">
      <w:pPr>
        <w:jc w:val="both"/>
        <w:rPr>
          <w:lang w:val="pt-PT"/>
        </w:rPr>
      </w:pPr>
    </w:p>
    <w:p w:rsidR="00032699" w:rsidRPr="001F708D" w:rsidRDefault="00032699" w:rsidP="00B3447F">
      <w:pPr>
        <w:jc w:val="both"/>
        <w:rPr>
          <w:lang w:val="pt-PT"/>
        </w:rPr>
      </w:pPr>
    </w:p>
    <w:p w:rsidR="00032699" w:rsidRDefault="006E6B0F" w:rsidP="00B3447F">
      <w:pPr>
        <w:jc w:val="both"/>
        <w:rPr>
          <w:lang w:val="pt-PT"/>
        </w:rPr>
      </w:pPr>
      <w:r>
        <w:rPr>
          <w:lang w:val="pt-PT"/>
        </w:rPr>
        <w:t xml:space="preserve">Num artigo publicado na revista </w:t>
      </w:r>
      <w:proofErr w:type="spellStart"/>
      <w:r>
        <w:rPr>
          <w:lang w:val="pt-PT"/>
        </w:rPr>
        <w:t>Building</w:t>
      </w:r>
      <w:proofErr w:type="spellEnd"/>
      <w:r>
        <w:rPr>
          <w:lang w:val="pt-PT"/>
        </w:rPr>
        <w:t xml:space="preserve"> </w:t>
      </w:r>
      <w:proofErr w:type="spellStart"/>
      <w:r>
        <w:rPr>
          <w:lang w:val="pt-PT"/>
        </w:rPr>
        <w:t>and</w:t>
      </w:r>
      <w:proofErr w:type="spellEnd"/>
      <w:r>
        <w:rPr>
          <w:lang w:val="pt-PT"/>
        </w:rPr>
        <w:t xml:space="preserve"> </w:t>
      </w:r>
      <w:proofErr w:type="spellStart"/>
      <w:r>
        <w:rPr>
          <w:lang w:val="pt-PT"/>
        </w:rPr>
        <w:t>Environment</w:t>
      </w:r>
      <w:proofErr w:type="spellEnd"/>
      <w:r>
        <w:rPr>
          <w:lang w:val="pt-PT"/>
        </w:rPr>
        <w:t xml:space="preserve">, </w:t>
      </w:r>
      <w:proofErr w:type="spellStart"/>
      <w:r>
        <w:rPr>
          <w:lang w:val="pt-PT"/>
        </w:rPr>
        <w:t>Jianjan</w:t>
      </w:r>
      <w:proofErr w:type="spellEnd"/>
      <w:r>
        <w:rPr>
          <w:lang w:val="pt-PT"/>
        </w:rPr>
        <w:t xml:space="preserve"> </w:t>
      </w:r>
      <w:proofErr w:type="spellStart"/>
      <w:r>
        <w:rPr>
          <w:lang w:val="pt-PT"/>
        </w:rPr>
        <w:t>Wei</w:t>
      </w:r>
      <w:proofErr w:type="spellEnd"/>
      <w:r>
        <w:rPr>
          <w:lang w:val="pt-PT"/>
        </w:rPr>
        <w:t xml:space="preserve"> e </w:t>
      </w:r>
      <w:proofErr w:type="spellStart"/>
      <w:r>
        <w:rPr>
          <w:lang w:val="pt-PT"/>
        </w:rPr>
        <w:t>Yuguo</w:t>
      </w:r>
      <w:proofErr w:type="spellEnd"/>
      <w:r>
        <w:rPr>
          <w:lang w:val="pt-PT"/>
        </w:rPr>
        <w:t xml:space="preserve"> Li</w:t>
      </w:r>
      <w:r w:rsidR="000C4106">
        <w:rPr>
          <w:lang w:val="pt-PT"/>
        </w:rPr>
        <w:t xml:space="preserve"> (2015)</w:t>
      </w:r>
      <w:r>
        <w:rPr>
          <w:lang w:val="pt-PT"/>
        </w:rPr>
        <w:t xml:space="preserve">, apresentam os resultados de uma simulação computacional </w:t>
      </w:r>
      <w:r w:rsidR="000C4106">
        <w:rPr>
          <w:lang w:val="pt-PT"/>
        </w:rPr>
        <w:t xml:space="preserve">para os destinos de partículas exaladas, com dimensões de 10 </w:t>
      </w:r>
      <w:r w:rsidR="000C4106" w:rsidRPr="000C4106">
        <w:rPr>
          <w:rFonts w:ascii="Symbol" w:hAnsi="Symbol"/>
          <w:lang w:val="pt-PT"/>
        </w:rPr>
        <w:t></w:t>
      </w:r>
      <w:r w:rsidR="000C4106">
        <w:rPr>
          <w:lang w:val="pt-PT"/>
        </w:rPr>
        <w:t xml:space="preserve">m, 50 </w:t>
      </w:r>
      <w:r w:rsidR="000C4106" w:rsidRPr="009C10B5">
        <w:rPr>
          <w:rFonts w:ascii="Symbol" w:hAnsi="Symbol"/>
          <w:lang w:val="pt-PT"/>
        </w:rPr>
        <w:t></w:t>
      </w:r>
      <w:r w:rsidR="000C4106">
        <w:rPr>
          <w:lang w:val="pt-PT"/>
        </w:rPr>
        <w:t xml:space="preserve">m e 100 </w:t>
      </w:r>
      <w:r w:rsidR="000C4106" w:rsidRPr="000C4106">
        <w:rPr>
          <w:rFonts w:ascii="Symbol" w:hAnsi="Symbol"/>
          <w:lang w:val="pt-PT"/>
        </w:rPr>
        <w:t></w:t>
      </w:r>
      <w:r w:rsidR="000C4106">
        <w:rPr>
          <w:lang w:val="pt-PT"/>
        </w:rPr>
        <w:t>m por uma pessoa que tussa, com uma velocidade inicial do jato que sai da boca de 10 m/s. Na figura 8 apresenta-se uma imagem montada a partir dos resultados desse artigo, em que fica patente que há o risco de as partículas em suspensão serem inaladas por pessoas que estejam a distâncias superiores aos 2 m recomendados como distância de segurança.</w:t>
      </w:r>
    </w:p>
    <w:tbl>
      <w:tblPr>
        <w:tblStyle w:val="Tabelacomgrelha"/>
        <w:tblW w:w="0" w:type="auto"/>
        <w:tblLook w:val="04A0" w:firstRow="1" w:lastRow="0" w:firstColumn="1" w:lastColumn="0" w:noHBand="0" w:noVBand="1"/>
      </w:tblPr>
      <w:tblGrid>
        <w:gridCol w:w="9350"/>
      </w:tblGrid>
      <w:tr w:rsidR="000C4106" w:rsidTr="000C4106">
        <w:tc>
          <w:tcPr>
            <w:tcW w:w="9350" w:type="dxa"/>
          </w:tcPr>
          <w:p w:rsidR="000C4106" w:rsidRDefault="000C4106" w:rsidP="00B3447F">
            <w:pPr>
              <w:jc w:val="both"/>
              <w:rPr>
                <w:lang w:val="pt-PT"/>
              </w:rPr>
            </w:pPr>
            <w:r w:rsidRPr="000C4106">
              <w:rPr>
                <w:noProof/>
                <w:lang w:val="pt-PT" w:eastAsia="pt-PT"/>
              </w:rPr>
              <w:lastRenderedPageBreak/>
              <w:drawing>
                <wp:inline distT="0" distB="0" distL="0" distR="0">
                  <wp:extent cx="5939155" cy="234823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9155" cy="2348230"/>
                          </a:xfrm>
                          <a:prstGeom prst="rect">
                            <a:avLst/>
                          </a:prstGeom>
                          <a:noFill/>
                          <a:ln>
                            <a:noFill/>
                          </a:ln>
                        </pic:spPr>
                      </pic:pic>
                    </a:graphicData>
                  </a:graphic>
                </wp:inline>
              </w:drawing>
            </w:r>
          </w:p>
        </w:tc>
      </w:tr>
      <w:tr w:rsidR="000C4106" w:rsidRPr="00CD0A99" w:rsidTr="000C4106">
        <w:tc>
          <w:tcPr>
            <w:tcW w:w="9350" w:type="dxa"/>
          </w:tcPr>
          <w:p w:rsidR="000C4106" w:rsidRDefault="000C4106" w:rsidP="00B3447F">
            <w:pPr>
              <w:jc w:val="both"/>
              <w:rPr>
                <w:lang w:val="pt-PT"/>
              </w:rPr>
            </w:pPr>
            <w:r>
              <w:rPr>
                <w:lang w:val="pt-PT"/>
              </w:rPr>
              <w:t xml:space="preserve">Figura 8 </w:t>
            </w:r>
            <w:r w:rsidR="009C10B5">
              <w:rPr>
                <w:lang w:val="pt-PT"/>
              </w:rPr>
              <w:t>–</w:t>
            </w:r>
            <w:r>
              <w:rPr>
                <w:lang w:val="pt-PT"/>
              </w:rPr>
              <w:t xml:space="preserve"> </w:t>
            </w:r>
            <w:r w:rsidR="009C10B5">
              <w:rPr>
                <w:lang w:val="pt-PT"/>
              </w:rPr>
              <w:t xml:space="preserve">Zona espaciais potencialmente ocupadas por partículas com as dimensões de 10 </w:t>
            </w:r>
            <w:r w:rsidR="009C10B5" w:rsidRPr="000C4106">
              <w:rPr>
                <w:rFonts w:ascii="Symbol" w:hAnsi="Symbol"/>
                <w:lang w:val="pt-PT"/>
              </w:rPr>
              <w:t></w:t>
            </w:r>
            <w:r w:rsidR="009C10B5">
              <w:rPr>
                <w:lang w:val="pt-PT"/>
              </w:rPr>
              <w:t xml:space="preserve">m, 50 </w:t>
            </w:r>
            <w:r w:rsidR="009C10B5" w:rsidRPr="009C10B5">
              <w:rPr>
                <w:rFonts w:ascii="Symbol" w:hAnsi="Symbol"/>
                <w:lang w:val="pt-PT"/>
              </w:rPr>
              <w:t></w:t>
            </w:r>
            <w:r w:rsidR="009C10B5">
              <w:rPr>
                <w:lang w:val="pt-PT"/>
              </w:rPr>
              <w:t xml:space="preserve">m e 100 </w:t>
            </w:r>
            <w:r w:rsidR="009C10B5" w:rsidRPr="000C4106">
              <w:rPr>
                <w:rFonts w:ascii="Symbol" w:hAnsi="Symbol"/>
                <w:lang w:val="pt-PT"/>
              </w:rPr>
              <w:t></w:t>
            </w:r>
            <w:r w:rsidR="009C10B5">
              <w:rPr>
                <w:lang w:val="pt-PT"/>
              </w:rPr>
              <w:t>m por uma pessoa com tosse</w:t>
            </w:r>
          </w:p>
        </w:tc>
      </w:tr>
    </w:tbl>
    <w:p w:rsidR="000C4106" w:rsidRDefault="000C4106" w:rsidP="00B3447F">
      <w:pPr>
        <w:jc w:val="both"/>
        <w:rPr>
          <w:lang w:val="pt-PT"/>
        </w:rPr>
      </w:pPr>
    </w:p>
    <w:p w:rsidR="000C4106" w:rsidRDefault="000C4106" w:rsidP="00B3447F">
      <w:pPr>
        <w:jc w:val="both"/>
        <w:rPr>
          <w:lang w:val="pt-PT"/>
        </w:rPr>
      </w:pPr>
      <w:r>
        <w:rPr>
          <w:lang w:val="pt-PT"/>
        </w:rPr>
        <w:t xml:space="preserve">Convém referir que a carga viral será em princípio, proporcional à dimensão das </w:t>
      </w:r>
      <w:r w:rsidR="009C10B5">
        <w:rPr>
          <w:lang w:val="pt-PT"/>
        </w:rPr>
        <w:t>gotas ou gotículas</w:t>
      </w:r>
      <w:r>
        <w:rPr>
          <w:lang w:val="pt-PT"/>
        </w:rPr>
        <w:t>, pelo que em partículas de menor dimensão</w:t>
      </w:r>
      <w:r w:rsidR="009C10B5">
        <w:rPr>
          <w:lang w:val="pt-PT"/>
        </w:rPr>
        <w:t>, a probabilidade de causarem infeção, não sendo nula, será mais baixa do que nas de maior dimensão. As estratégias possíveis para combater uma eventual possibilidade de transmissão pelo modo de partículas em suspensão passam por tentar diminuir a concentração dessas partículas através da diluição em ar novo fornecido pelo processo de ventilação e em minimizar o risco de inalação pelas vias aéreas através do uso de máscaras e viseiras</w:t>
      </w:r>
      <w:r w:rsidR="00C33070">
        <w:rPr>
          <w:lang w:val="pt-PT"/>
        </w:rPr>
        <w:t>.</w:t>
      </w:r>
    </w:p>
    <w:p w:rsidR="009C10B5" w:rsidRDefault="009C10B5" w:rsidP="00B3447F">
      <w:pPr>
        <w:jc w:val="both"/>
        <w:rPr>
          <w:lang w:val="pt-PT"/>
        </w:rPr>
      </w:pPr>
    </w:p>
    <w:p w:rsidR="009C10B5" w:rsidRDefault="009C10B5" w:rsidP="00B3447F">
      <w:pPr>
        <w:jc w:val="both"/>
        <w:rPr>
          <w:b/>
          <w:lang w:val="pt-PT"/>
        </w:rPr>
      </w:pPr>
      <w:r w:rsidRPr="009C10B5">
        <w:rPr>
          <w:b/>
          <w:lang w:val="pt-PT"/>
        </w:rPr>
        <w:t>Sugestões / Conclusões</w:t>
      </w:r>
    </w:p>
    <w:p w:rsidR="009C10B5" w:rsidRDefault="009C10B5" w:rsidP="00B3447F">
      <w:pPr>
        <w:jc w:val="both"/>
        <w:rPr>
          <w:b/>
          <w:lang w:val="pt-PT"/>
        </w:rPr>
      </w:pPr>
    </w:p>
    <w:p w:rsidR="00D7036B" w:rsidRPr="009C10B5" w:rsidRDefault="009C10B5" w:rsidP="009C10B5">
      <w:pPr>
        <w:numPr>
          <w:ilvl w:val="0"/>
          <w:numId w:val="3"/>
        </w:numPr>
        <w:jc w:val="both"/>
        <w:rPr>
          <w:lang w:val="pt-PT"/>
        </w:rPr>
      </w:pPr>
      <w:r>
        <w:rPr>
          <w:lang w:val="pt-PT"/>
        </w:rPr>
        <w:t>E</w:t>
      </w:r>
      <w:r w:rsidR="008E6315" w:rsidRPr="009C10B5">
        <w:rPr>
          <w:lang w:val="pt-PT"/>
        </w:rPr>
        <w:t xml:space="preserve">nquanto se mantiver a crise </w:t>
      </w:r>
      <w:r w:rsidR="00722AE2">
        <w:rPr>
          <w:lang w:val="pt-PT"/>
        </w:rPr>
        <w:t>pandémica</w:t>
      </w:r>
      <w:r w:rsidR="008E6315" w:rsidRPr="009C10B5">
        <w:rPr>
          <w:lang w:val="pt-PT"/>
        </w:rPr>
        <w:t>, não devem ser realizadas</w:t>
      </w:r>
      <w:r w:rsidRPr="009C10B5">
        <w:rPr>
          <w:lang w:val="pt-PT"/>
        </w:rPr>
        <w:t xml:space="preserve"> </w:t>
      </w:r>
      <w:r>
        <w:rPr>
          <w:lang w:val="pt-PT"/>
        </w:rPr>
        <w:t>r</w:t>
      </w:r>
      <w:r w:rsidRPr="009C10B5">
        <w:rPr>
          <w:lang w:val="pt-PT"/>
        </w:rPr>
        <w:t>euniões presenciais</w:t>
      </w:r>
    </w:p>
    <w:p w:rsidR="00D7036B" w:rsidRPr="009C10B5" w:rsidRDefault="008E6315" w:rsidP="009C10B5">
      <w:pPr>
        <w:numPr>
          <w:ilvl w:val="0"/>
          <w:numId w:val="3"/>
        </w:numPr>
        <w:jc w:val="both"/>
        <w:rPr>
          <w:lang w:val="pt-PT"/>
        </w:rPr>
      </w:pPr>
      <w:r w:rsidRPr="009C10B5">
        <w:rPr>
          <w:lang w:val="pt-PT"/>
        </w:rPr>
        <w:t>Os espaços interiores com ocupação humana devem ser fortemente ventilados, exclusivamente com ar novo, para diminuir as concentrações do vírus, no caso de uma eventual contaminação por partículas em suspensão, e</w:t>
      </w:r>
      <w:r w:rsidR="00BE5F82">
        <w:rPr>
          <w:lang w:val="pt-PT"/>
        </w:rPr>
        <w:t xml:space="preserve">, desta forma, </w:t>
      </w:r>
      <w:r w:rsidRPr="009C10B5">
        <w:rPr>
          <w:lang w:val="pt-PT"/>
        </w:rPr>
        <w:t>reduzir o risco de infeção.</w:t>
      </w:r>
    </w:p>
    <w:p w:rsidR="00D7036B" w:rsidRPr="009C10B5" w:rsidRDefault="00C33070" w:rsidP="009C10B5">
      <w:pPr>
        <w:numPr>
          <w:ilvl w:val="0"/>
          <w:numId w:val="3"/>
        </w:numPr>
        <w:jc w:val="both"/>
        <w:rPr>
          <w:lang w:val="pt-PT"/>
        </w:rPr>
      </w:pPr>
      <w:r>
        <w:rPr>
          <w:lang w:val="pt-PT"/>
        </w:rPr>
        <w:t>Q</w:t>
      </w:r>
      <w:r w:rsidR="008E6315" w:rsidRPr="009C10B5">
        <w:rPr>
          <w:lang w:val="pt-PT"/>
        </w:rPr>
        <w:t xml:space="preserve">uando </w:t>
      </w:r>
      <w:r>
        <w:rPr>
          <w:lang w:val="pt-PT"/>
        </w:rPr>
        <w:t>se planeia</w:t>
      </w:r>
      <w:r w:rsidR="008E6315" w:rsidRPr="009C10B5">
        <w:rPr>
          <w:lang w:val="pt-PT"/>
        </w:rPr>
        <w:t xml:space="preserve"> uma saída, para locais freque</w:t>
      </w:r>
      <w:r>
        <w:rPr>
          <w:lang w:val="pt-PT"/>
        </w:rPr>
        <w:t>ntados por outras pessoas, deve-se</w:t>
      </w:r>
      <w:r w:rsidR="008E6315" w:rsidRPr="009C10B5">
        <w:rPr>
          <w:lang w:val="pt-PT"/>
        </w:rPr>
        <w:t xml:space="preserve"> levar máscara e, se possível, viseira. As máscaras normais não são completamente eficazes na retenção da</w:t>
      </w:r>
      <w:r w:rsidR="009C10B5">
        <w:rPr>
          <w:lang w:val="pt-PT"/>
        </w:rPr>
        <w:t>s partículas de menor dimensão, pelo que o uso combinado com uma</w:t>
      </w:r>
      <w:r w:rsidR="008E6315" w:rsidRPr="009C10B5">
        <w:rPr>
          <w:lang w:val="pt-PT"/>
        </w:rPr>
        <w:t xml:space="preserve"> viseira aumenta substancialmente a eficácia de retenção.</w:t>
      </w:r>
      <w:r>
        <w:rPr>
          <w:lang w:val="pt-PT"/>
        </w:rPr>
        <w:t xml:space="preserve"> </w:t>
      </w:r>
    </w:p>
    <w:p w:rsidR="00D7036B" w:rsidRDefault="008E6315" w:rsidP="009C10B5">
      <w:pPr>
        <w:numPr>
          <w:ilvl w:val="0"/>
          <w:numId w:val="3"/>
        </w:numPr>
        <w:jc w:val="both"/>
        <w:rPr>
          <w:lang w:val="pt-PT"/>
        </w:rPr>
      </w:pPr>
      <w:r w:rsidRPr="009C10B5">
        <w:rPr>
          <w:lang w:val="pt-PT"/>
        </w:rPr>
        <w:t>Quem trabalha em locais públicos deve usar máscara e viseira, para proteger as vias aéreas</w:t>
      </w:r>
    </w:p>
    <w:p w:rsidR="00C33070" w:rsidRDefault="00C33070" w:rsidP="00C33070">
      <w:pPr>
        <w:jc w:val="both"/>
        <w:rPr>
          <w:lang w:val="pt-PT"/>
        </w:rPr>
      </w:pPr>
    </w:p>
    <w:p w:rsidR="00C33070" w:rsidRDefault="00C33070" w:rsidP="00C33070">
      <w:pPr>
        <w:jc w:val="both"/>
        <w:rPr>
          <w:lang w:val="pt-PT"/>
        </w:rPr>
      </w:pPr>
    </w:p>
    <w:p w:rsidR="00C33070" w:rsidRDefault="00C33070" w:rsidP="00C33070">
      <w:pPr>
        <w:jc w:val="both"/>
        <w:rPr>
          <w:lang w:val="pt-PT"/>
        </w:rPr>
      </w:pPr>
    </w:p>
    <w:p w:rsidR="00C33070" w:rsidRDefault="00C33070" w:rsidP="00C33070">
      <w:pPr>
        <w:jc w:val="both"/>
        <w:rPr>
          <w:lang w:val="pt-PT"/>
        </w:rPr>
      </w:pPr>
    </w:p>
    <w:p w:rsidR="00C33070" w:rsidRDefault="00C33070" w:rsidP="00C33070">
      <w:pPr>
        <w:jc w:val="both"/>
        <w:rPr>
          <w:b/>
        </w:rPr>
      </w:pPr>
      <w:proofErr w:type="spellStart"/>
      <w:r w:rsidRPr="00BE5F82">
        <w:rPr>
          <w:b/>
        </w:rPr>
        <w:lastRenderedPageBreak/>
        <w:t>Referências</w:t>
      </w:r>
      <w:proofErr w:type="spellEnd"/>
    </w:p>
    <w:p w:rsidR="00BE5F82" w:rsidRPr="00BE5F82" w:rsidRDefault="00BE5F82" w:rsidP="00C33070">
      <w:pPr>
        <w:jc w:val="both"/>
        <w:rPr>
          <w:b/>
        </w:rPr>
      </w:pPr>
    </w:p>
    <w:p w:rsidR="00027B74" w:rsidRPr="00583FCE" w:rsidRDefault="00027B74" w:rsidP="00583FCE">
      <w:pPr>
        <w:jc w:val="both"/>
      </w:pPr>
      <w:r w:rsidRPr="00583FCE">
        <w:t xml:space="preserve">Barker, J., Stevens, D. and Bloomfield, S.F. (2001) Spread and prevention of some common viral infections in community facilities and domestic homes. J. Appl. </w:t>
      </w:r>
      <w:proofErr w:type="spellStart"/>
      <w:r w:rsidRPr="00583FCE">
        <w:t>Microbiol</w:t>
      </w:r>
      <w:proofErr w:type="spellEnd"/>
      <w:r w:rsidRPr="00583FCE">
        <w:t>., 91, 7–21.</w:t>
      </w:r>
    </w:p>
    <w:p w:rsidR="00027B74" w:rsidRPr="00027B74" w:rsidRDefault="00027B74" w:rsidP="00027B74">
      <w:pPr>
        <w:jc w:val="both"/>
      </w:pPr>
      <w:proofErr w:type="spellStart"/>
      <w:r w:rsidRPr="00027B74">
        <w:t>Bourouiba</w:t>
      </w:r>
      <w:proofErr w:type="spellEnd"/>
      <w:r w:rsidRPr="00027B74">
        <w:t xml:space="preserve">, Lydia, </w:t>
      </w:r>
      <w:proofErr w:type="spellStart"/>
      <w:r w:rsidRPr="00027B74">
        <w:t>Eline</w:t>
      </w:r>
      <w:proofErr w:type="spellEnd"/>
      <w:r w:rsidRPr="00027B74">
        <w:t xml:space="preserve"> </w:t>
      </w:r>
      <w:proofErr w:type="spellStart"/>
      <w:r w:rsidRPr="00027B74">
        <w:t>Dehandschoewercker</w:t>
      </w:r>
      <w:proofErr w:type="spellEnd"/>
      <w:r w:rsidRPr="00027B74">
        <w:t>, and John W. M. Bush. “Violent Expiratory Events: On Coughing and Sneezing.” Journal of Fluid Mechanics 745 (March 24, 2014): 537–563. © 2014 Cambridge University Press</w:t>
      </w:r>
    </w:p>
    <w:p w:rsidR="00027B74" w:rsidRPr="00027B74" w:rsidRDefault="00027B74" w:rsidP="00027B74">
      <w:pPr>
        <w:jc w:val="both"/>
      </w:pPr>
      <w:r w:rsidRPr="00027B74">
        <w:t>Holbrook</w:t>
      </w:r>
      <w:r>
        <w:t xml:space="preserve">, M. et al. </w:t>
      </w:r>
      <w:r w:rsidRPr="00027B74">
        <w:t xml:space="preserve"> The New England Journal of Medicine</w:t>
      </w:r>
      <w:r>
        <w:t xml:space="preserve">, </w:t>
      </w:r>
      <w:r w:rsidRPr="00027B74">
        <w:t>Letter to the Editor, March 17, 2020</w:t>
      </w:r>
    </w:p>
    <w:p w:rsidR="00027B74" w:rsidRDefault="00027B74" w:rsidP="008641D0">
      <w:pPr>
        <w:jc w:val="both"/>
      </w:pPr>
      <w:proofErr w:type="spellStart"/>
      <w:r w:rsidRPr="008641D0">
        <w:t>Klontz</w:t>
      </w:r>
      <w:proofErr w:type="spellEnd"/>
      <w:r w:rsidRPr="008641D0">
        <w:t>, K.C., N.A. Hynes, R.A. Gunn, M.H. Wilder, M.W. Harmon, and A.P. Kendal. 1989. An</w:t>
      </w:r>
      <w:r>
        <w:t xml:space="preserve"> </w:t>
      </w:r>
      <w:r w:rsidRPr="008641D0">
        <w:t>outbreak of influenza A/Taiwan/1/86 (H1N1) infections at a naval base and</w:t>
      </w:r>
      <w:r>
        <w:t xml:space="preserve"> </w:t>
      </w:r>
      <w:proofErr w:type="spellStart"/>
      <w:r w:rsidRPr="008641D0">
        <w:t>and</w:t>
      </w:r>
      <w:proofErr w:type="spellEnd"/>
      <w:r w:rsidRPr="008641D0">
        <w:t xml:space="preserve"> its association</w:t>
      </w:r>
      <w:r>
        <w:t xml:space="preserve"> </w:t>
      </w:r>
      <w:r w:rsidRPr="008641D0">
        <w:t xml:space="preserve">with airplane travel. </w:t>
      </w:r>
      <w:r w:rsidRPr="008641D0">
        <w:rPr>
          <w:i/>
          <w:iCs/>
        </w:rPr>
        <w:t xml:space="preserve">American Journal of Epidemiology </w:t>
      </w:r>
      <w:r w:rsidRPr="008641D0">
        <w:t>129:341–48.</w:t>
      </w:r>
    </w:p>
    <w:p w:rsidR="00027B74" w:rsidRDefault="00027B74" w:rsidP="00555F41">
      <w:pPr>
        <w:jc w:val="both"/>
      </w:pPr>
      <w:r w:rsidRPr="00555F41">
        <w:rPr>
          <w:rFonts w:hint="eastAsia"/>
        </w:rPr>
        <w:t xml:space="preserve">Li  Y, Huang X, Yu ITS, Wong TW, Qian H, </w:t>
      </w:r>
      <w:r>
        <w:t>(</w:t>
      </w:r>
      <w:r>
        <w:rPr>
          <w:rFonts w:hint="eastAsia"/>
        </w:rPr>
        <w:t>2005a)</w:t>
      </w:r>
      <w:r w:rsidRPr="00555F41">
        <w:rPr>
          <w:rFonts w:hint="eastAsia"/>
        </w:rPr>
        <w:t xml:space="preserve"> Role of air distribution in SARS transmission during the largest nosocomial outbreak in Hong Kong. Indoor Air 15(2): 83-95. </w:t>
      </w:r>
    </w:p>
    <w:p w:rsidR="00027B74" w:rsidRDefault="00027B74" w:rsidP="00555F41">
      <w:pPr>
        <w:jc w:val="both"/>
      </w:pPr>
      <w:r w:rsidRPr="00555F41">
        <w:rPr>
          <w:rFonts w:hint="eastAsia"/>
        </w:rPr>
        <w:t xml:space="preserve">Li Y, </w:t>
      </w:r>
      <w:proofErr w:type="spellStart"/>
      <w:r w:rsidRPr="00555F41">
        <w:rPr>
          <w:rFonts w:hint="eastAsia"/>
        </w:rPr>
        <w:t>Duan</w:t>
      </w:r>
      <w:proofErr w:type="spellEnd"/>
      <w:r w:rsidRPr="00555F41">
        <w:rPr>
          <w:rFonts w:hint="eastAsia"/>
        </w:rPr>
        <w:t xml:space="preserve"> S, Yu ITS, Wong TW, </w:t>
      </w:r>
      <w:r>
        <w:t>(</w:t>
      </w:r>
      <w:r>
        <w:rPr>
          <w:rFonts w:hint="eastAsia"/>
        </w:rPr>
        <w:t>2005b)</w:t>
      </w:r>
      <w:r w:rsidRPr="00555F41">
        <w:rPr>
          <w:rFonts w:hint="eastAsia"/>
        </w:rPr>
        <w:t xml:space="preserve"> Multi</w:t>
      </w:r>
      <w:r w:rsidRPr="00555F41">
        <w:rPr>
          <w:rFonts w:hint="eastAsia"/>
        </w:rPr>
        <w:t>‐</w:t>
      </w:r>
      <w:r w:rsidRPr="00555F41">
        <w:rPr>
          <w:rFonts w:hint="eastAsia"/>
        </w:rPr>
        <w:t xml:space="preserve">zone modeling of probable SARS virus transmission by airflow between flats in Block E, Amoy Gardens. Indoor Air 15(2): 96-111. </w:t>
      </w:r>
    </w:p>
    <w:p w:rsidR="00027B74" w:rsidRDefault="00027B74" w:rsidP="00555F41">
      <w:pPr>
        <w:jc w:val="both"/>
      </w:pPr>
      <w:r w:rsidRPr="00555F41">
        <w:rPr>
          <w:rFonts w:hint="eastAsia"/>
        </w:rPr>
        <w:t xml:space="preserve">Li Y, Leung GM,  Tang JM, Yang X, Chao CYH, Lin JZ, Lu JW, Nielsen PV, </w:t>
      </w:r>
      <w:proofErr w:type="spellStart"/>
      <w:r w:rsidRPr="00555F41">
        <w:rPr>
          <w:rFonts w:hint="eastAsia"/>
        </w:rPr>
        <w:t>Niu</w:t>
      </w:r>
      <w:proofErr w:type="spellEnd"/>
      <w:r w:rsidRPr="00555F41">
        <w:rPr>
          <w:rFonts w:hint="eastAsia"/>
        </w:rPr>
        <w:t xml:space="preserve"> J, Qian H, Sleigh AC, Su H</w:t>
      </w:r>
      <w:r w:rsidRPr="00555F41">
        <w:rPr>
          <w:rFonts w:hint="eastAsia"/>
        </w:rPr>
        <w:t>‐</w:t>
      </w:r>
      <w:r w:rsidRPr="00555F41">
        <w:rPr>
          <w:rFonts w:hint="eastAsia"/>
        </w:rPr>
        <w:t xml:space="preserve">JJ, </w:t>
      </w:r>
      <w:proofErr w:type="spellStart"/>
      <w:r w:rsidRPr="00555F41">
        <w:rPr>
          <w:rFonts w:hint="eastAsia"/>
        </w:rPr>
        <w:t>Sundell</w:t>
      </w:r>
      <w:proofErr w:type="spellEnd"/>
      <w:r w:rsidRPr="00555F41">
        <w:rPr>
          <w:rFonts w:hint="eastAsia"/>
        </w:rPr>
        <w:t xml:space="preserve"> J, Wong TW, Yuen PL, </w:t>
      </w:r>
      <w:r>
        <w:t>(</w:t>
      </w:r>
      <w:r>
        <w:rPr>
          <w:rFonts w:hint="eastAsia"/>
        </w:rPr>
        <w:t>2007)</w:t>
      </w:r>
      <w:r w:rsidRPr="00555F41">
        <w:rPr>
          <w:rFonts w:hint="eastAsia"/>
        </w:rPr>
        <w:t xml:space="preserve"> Role of ventilation in a</w:t>
      </w:r>
      <w:r w:rsidRPr="00555F41">
        <w:t>irborne transmission of infectious agents in the built environment – a multidisciplinary systematic r</w:t>
      </w:r>
      <w:r>
        <w:t xml:space="preserve">eview. Indoor Air 17(1): 2-18. </w:t>
      </w:r>
    </w:p>
    <w:p w:rsidR="00027B74" w:rsidRDefault="00027B74" w:rsidP="008641D0">
      <w:pPr>
        <w:jc w:val="both"/>
      </w:pPr>
      <w:r w:rsidRPr="008641D0">
        <w:t xml:space="preserve">McLean, R.L. 1961. The effect of ultraviolet radiation upon the transmission of epidemic </w:t>
      </w:r>
      <w:proofErr w:type="spellStart"/>
      <w:r w:rsidRPr="008641D0">
        <w:t>influenzain</w:t>
      </w:r>
      <w:proofErr w:type="spellEnd"/>
      <w:r w:rsidRPr="008641D0">
        <w:t xml:space="preserve"> long-term hospital patients. </w:t>
      </w:r>
      <w:r w:rsidRPr="008641D0">
        <w:rPr>
          <w:i/>
          <w:iCs/>
        </w:rPr>
        <w:t xml:space="preserve">American Review of Respiratory Diseases </w:t>
      </w:r>
      <w:r w:rsidRPr="008641D0">
        <w:t>83(2):36–8.</w:t>
      </w:r>
    </w:p>
    <w:p w:rsidR="00027B74" w:rsidRDefault="00027B74" w:rsidP="008641D0">
      <w:pPr>
        <w:jc w:val="both"/>
      </w:pPr>
      <w:proofErr w:type="spellStart"/>
      <w:r w:rsidRPr="008641D0">
        <w:t>Mendell</w:t>
      </w:r>
      <w:proofErr w:type="spellEnd"/>
      <w:r w:rsidRPr="008641D0">
        <w:t xml:space="preserve">, M.J., Fisk, W.J., </w:t>
      </w:r>
      <w:proofErr w:type="spellStart"/>
      <w:r w:rsidRPr="008641D0">
        <w:t>Kreiss</w:t>
      </w:r>
      <w:proofErr w:type="spellEnd"/>
      <w:r w:rsidRPr="008641D0">
        <w:t xml:space="preserve">, K., Levin, H., Alexander, D., Cain, W.S., </w:t>
      </w:r>
      <w:proofErr w:type="spellStart"/>
      <w:r w:rsidRPr="008641D0">
        <w:t>Girman</w:t>
      </w:r>
      <w:proofErr w:type="spellEnd"/>
      <w:r w:rsidRPr="008641D0">
        <w:t xml:space="preserve">, J.R., Hines, C.J., Jensen, P.A., Milton, D.K., </w:t>
      </w:r>
      <w:proofErr w:type="spellStart"/>
      <w:r w:rsidRPr="008641D0">
        <w:t>Rexroat</w:t>
      </w:r>
      <w:proofErr w:type="spellEnd"/>
      <w:r w:rsidRPr="008641D0">
        <w:t>, L.P. and Wallingford, K.M. (2002) Improving the health of workers in indoor environments: priority research needs for a national occupational research agenda. Am. J. Public Health, 92, 1430–1440.</w:t>
      </w:r>
    </w:p>
    <w:p w:rsidR="00027B74" w:rsidRDefault="00027B74" w:rsidP="00BE5F82">
      <w:pPr>
        <w:jc w:val="both"/>
      </w:pPr>
      <w:proofErr w:type="spellStart"/>
      <w:r>
        <w:t>Morawska</w:t>
      </w:r>
      <w:proofErr w:type="spellEnd"/>
      <w:r>
        <w:t xml:space="preserve">, L. (2006) </w:t>
      </w:r>
      <w:r w:rsidRPr="00583FCE">
        <w:t>Droplet fate in indoor environments, or can we prevent the spread of infection?</w:t>
      </w:r>
      <w:r>
        <w:t xml:space="preserve"> </w:t>
      </w:r>
      <w:r w:rsidRPr="00583FCE">
        <w:t>Indoor Air 2006; 16: 335–347</w:t>
      </w:r>
      <w:r>
        <w:t xml:space="preserve"> </w:t>
      </w:r>
      <w:r w:rsidRPr="00583FCE">
        <w:t>doi:10.1111/j.1600-0668.2006.00432.x</w:t>
      </w:r>
      <w:r>
        <w:t xml:space="preserve"> </w:t>
      </w:r>
    </w:p>
    <w:p w:rsidR="00027B74" w:rsidRDefault="00027B74" w:rsidP="008641D0">
      <w:pPr>
        <w:jc w:val="both"/>
      </w:pPr>
      <w:r w:rsidRPr="008641D0">
        <w:t>Moser, M.R., T.R. Bender, H.S. Margolis, G.R. Noble, A.P. Kendal and D.G. Ritter. 1979. An</w:t>
      </w:r>
      <w:r>
        <w:t xml:space="preserve"> </w:t>
      </w:r>
      <w:r w:rsidRPr="008641D0">
        <w:t xml:space="preserve">outbreak of influenza aboard a commercial airliner. </w:t>
      </w:r>
      <w:r w:rsidRPr="008641D0">
        <w:rPr>
          <w:i/>
          <w:iCs/>
        </w:rPr>
        <w:t>American Journal of Epidemiology</w:t>
      </w:r>
      <w:r>
        <w:rPr>
          <w:i/>
          <w:iCs/>
        </w:rPr>
        <w:t xml:space="preserve"> </w:t>
      </w:r>
      <w:r w:rsidRPr="008641D0">
        <w:t>110(1):1–6.</w:t>
      </w:r>
    </w:p>
    <w:p w:rsidR="00027B74" w:rsidRDefault="00027B74" w:rsidP="008641D0">
      <w:pPr>
        <w:jc w:val="both"/>
      </w:pPr>
      <w:r w:rsidRPr="008641D0">
        <w:t xml:space="preserve">Pillai, S.D. and </w:t>
      </w:r>
      <w:proofErr w:type="spellStart"/>
      <w:r w:rsidRPr="008641D0">
        <w:t>Ricke</w:t>
      </w:r>
      <w:proofErr w:type="spellEnd"/>
      <w:r w:rsidRPr="008641D0">
        <w:t xml:space="preserve">, S.C. (2002) </w:t>
      </w:r>
      <w:proofErr w:type="spellStart"/>
      <w:r w:rsidRPr="008641D0">
        <w:t>Bioaerosols</w:t>
      </w:r>
      <w:proofErr w:type="spellEnd"/>
      <w:r w:rsidRPr="008641D0">
        <w:t xml:space="preserve"> from municipal and animal wastes: background and contemporary issues. Can. J. </w:t>
      </w:r>
      <w:proofErr w:type="spellStart"/>
      <w:r w:rsidRPr="008641D0">
        <w:t>Microbiol</w:t>
      </w:r>
      <w:proofErr w:type="spellEnd"/>
      <w:r w:rsidRPr="008641D0">
        <w:t>., 48, 681.</w:t>
      </w:r>
    </w:p>
    <w:p w:rsidR="00027B74" w:rsidRDefault="00027B74" w:rsidP="00BE5F82">
      <w:pPr>
        <w:jc w:val="both"/>
      </w:pPr>
      <w:r w:rsidRPr="00BE5F82">
        <w:t>Prime Minister's Office, “Let’s Avoid These Three Conditions When We Go Out!” Flyer (in Japanese), https://www.kantei.go.jp/jp/content/000061234.pdf (Retrieved March 21, 2020)</w:t>
      </w:r>
    </w:p>
    <w:p w:rsidR="00027B74" w:rsidRPr="00583FCE" w:rsidRDefault="00027B74" w:rsidP="00583FCE">
      <w:pPr>
        <w:jc w:val="both"/>
      </w:pPr>
      <w:proofErr w:type="spellStart"/>
      <w:r>
        <w:t>Rheinbahen</w:t>
      </w:r>
      <w:proofErr w:type="spellEnd"/>
      <w:r>
        <w:t xml:space="preserve">, F.V., </w:t>
      </w:r>
      <w:proofErr w:type="spellStart"/>
      <w:r>
        <w:t>Schu</w:t>
      </w:r>
      <w:r w:rsidRPr="00583FCE">
        <w:t>nemann</w:t>
      </w:r>
      <w:proofErr w:type="spellEnd"/>
      <w:r w:rsidRPr="00583FCE">
        <w:t>, S., Gross, T. and Wolff M.H. (2000) Transmission of viruses via contact in a household setting:</w:t>
      </w:r>
      <w:r>
        <w:t xml:space="preserve"> </w:t>
      </w:r>
      <w:r w:rsidRPr="00583FCE">
        <w:t>experiments using bacteriophage X174 as a model of virus. J. Hosp. Infect., 46, 61–66.</w:t>
      </w:r>
    </w:p>
    <w:p w:rsidR="00027B74" w:rsidRDefault="00027B74" w:rsidP="008641D0">
      <w:pPr>
        <w:jc w:val="both"/>
      </w:pPr>
      <w:r w:rsidRPr="008641D0">
        <w:lastRenderedPageBreak/>
        <w:t xml:space="preserve">Roe, F.J.C. (1992) Virus and other infections in the context of indoor air quality. Pollution </w:t>
      </w:r>
      <w:proofErr w:type="spellStart"/>
      <w:r w:rsidRPr="008641D0">
        <w:t>Atmospherique</w:t>
      </w:r>
      <w:proofErr w:type="spellEnd"/>
      <w:r w:rsidRPr="008641D0">
        <w:t>, 134, 48–51.</w:t>
      </w:r>
    </w:p>
    <w:p w:rsidR="00027B74" w:rsidRDefault="00027B74" w:rsidP="00027B74">
      <w:pPr>
        <w:jc w:val="both"/>
      </w:pPr>
      <w:r w:rsidRPr="00027B74">
        <w:t xml:space="preserve">Sun Y., Z. Wang, Y. Zhang, and J. </w:t>
      </w:r>
      <w:proofErr w:type="spellStart"/>
      <w:r w:rsidRPr="00027B74">
        <w:t>Sundell</w:t>
      </w:r>
      <w:proofErr w:type="spellEnd"/>
      <w:r w:rsidRPr="00027B74">
        <w:t>. 2011. In China, students in crowded dormitories</w:t>
      </w:r>
      <w:r>
        <w:t xml:space="preserve"> </w:t>
      </w:r>
      <w:r w:rsidRPr="00027B74">
        <w:t>with a low ventilation rate have more common colds: Evidence for airborne transmission.</w:t>
      </w:r>
      <w:r>
        <w:t xml:space="preserve"> </w:t>
      </w:r>
      <w:r w:rsidRPr="00027B74">
        <w:rPr>
          <w:i/>
          <w:iCs/>
        </w:rPr>
        <w:t xml:space="preserve">PLOS ONE </w:t>
      </w:r>
      <w:r w:rsidRPr="00027B74">
        <w:t>6(11):e27140.</w:t>
      </w:r>
    </w:p>
    <w:p w:rsidR="00027B74" w:rsidRDefault="00027B74" w:rsidP="00027B74">
      <w:pPr>
        <w:jc w:val="both"/>
      </w:pPr>
      <w:r>
        <w:t xml:space="preserve">Wei, J., Li, Y. </w:t>
      </w:r>
      <w:r w:rsidRPr="00027B74">
        <w:t>Enhanced spread of expiratory droplets by turbulence in a cough jet Building and Environment Volume 93, Part 2, November 2015, Pages 86-96</w:t>
      </w:r>
    </w:p>
    <w:p w:rsidR="00027B74" w:rsidRDefault="00027B74" w:rsidP="008641D0">
      <w:pPr>
        <w:jc w:val="both"/>
      </w:pPr>
      <w:r w:rsidRPr="008641D0">
        <w:t xml:space="preserve">Yu, I.T., Y. Li, </w:t>
      </w:r>
      <w:proofErr w:type="spellStart"/>
      <w:r w:rsidRPr="008641D0">
        <w:t>T.W.Wong,W</w:t>
      </w:r>
      <w:proofErr w:type="spellEnd"/>
      <w:r w:rsidRPr="008641D0">
        <w:t>. Tam, A.T. Chan, J.H. Lee, D.Y. Leung, and T. Ho. 2004. Evidence</w:t>
      </w:r>
      <w:r>
        <w:t xml:space="preserve"> </w:t>
      </w:r>
      <w:r w:rsidRPr="008641D0">
        <w:t>of Airborne Transmission of the Severe Acute Respiratory Syndrome Virus. New England</w:t>
      </w:r>
      <w:r>
        <w:t xml:space="preserve"> </w:t>
      </w:r>
      <w:r w:rsidRPr="008641D0">
        <w:t>Journal of Medicine 350:1731-1739. DOI: 10.1056/NEJMoa032867.</w:t>
      </w:r>
    </w:p>
    <w:p w:rsidR="00027B74" w:rsidRPr="00027B74" w:rsidRDefault="00027B74" w:rsidP="00027B74">
      <w:pPr>
        <w:jc w:val="both"/>
      </w:pPr>
    </w:p>
    <w:p w:rsidR="00027B74" w:rsidRPr="00027B74" w:rsidRDefault="00027B74" w:rsidP="00027B74">
      <w:pPr>
        <w:jc w:val="both"/>
      </w:pPr>
    </w:p>
    <w:p w:rsidR="00BE5F82" w:rsidRPr="00BE5F82" w:rsidRDefault="00BE5F82" w:rsidP="00BE5F82">
      <w:pPr>
        <w:jc w:val="both"/>
        <w:rPr>
          <w:b/>
        </w:rPr>
      </w:pPr>
    </w:p>
    <w:p w:rsidR="00BE5F82" w:rsidRDefault="00BE5F82" w:rsidP="00BE5F82">
      <w:pPr>
        <w:jc w:val="both"/>
        <w:rPr>
          <w:b/>
        </w:rPr>
      </w:pPr>
      <w:proofErr w:type="spellStart"/>
      <w:r w:rsidRPr="00BE5F82">
        <w:rPr>
          <w:b/>
        </w:rPr>
        <w:t>Outra</w:t>
      </w:r>
      <w:proofErr w:type="spellEnd"/>
      <w:r w:rsidRPr="00BE5F82">
        <w:rPr>
          <w:b/>
        </w:rPr>
        <w:t xml:space="preserve"> </w:t>
      </w:r>
      <w:proofErr w:type="spellStart"/>
      <w:r w:rsidRPr="00BE5F82">
        <w:rPr>
          <w:b/>
        </w:rPr>
        <w:t>Bibliografia</w:t>
      </w:r>
      <w:proofErr w:type="spellEnd"/>
      <w:r w:rsidR="00555F41">
        <w:rPr>
          <w:b/>
        </w:rPr>
        <w:t xml:space="preserve"> </w:t>
      </w:r>
    </w:p>
    <w:p w:rsidR="00BE5F82" w:rsidRDefault="00BE5F82" w:rsidP="00BE5F82">
      <w:pPr>
        <w:jc w:val="both"/>
        <w:rPr>
          <w:b/>
        </w:rPr>
      </w:pPr>
    </w:p>
    <w:p w:rsidR="00BE5F82" w:rsidRDefault="00BE5F82" w:rsidP="00BE5F82">
      <w:pPr>
        <w:jc w:val="both"/>
      </w:pPr>
      <w:r w:rsidRPr="00555F41">
        <w:t xml:space="preserve">RHEVA, COVID-19 Guidance, </w:t>
      </w:r>
      <w:hyperlink r:id="rId19" w:history="1">
        <w:r w:rsidR="00555F41" w:rsidRPr="003E08E9">
          <w:rPr>
            <w:rStyle w:val="Hiperligao"/>
          </w:rPr>
          <w:t>https://www.rehva.eu/activities/covid-19-guidance</w:t>
        </w:r>
      </w:hyperlink>
      <w:r w:rsidR="00555F41">
        <w:t xml:space="preserve"> </w:t>
      </w:r>
      <w:r w:rsidRPr="00555F41">
        <w:t xml:space="preserve"> (Retrieved March 21, 2020)</w:t>
      </w:r>
    </w:p>
    <w:p w:rsidR="00555F41" w:rsidRDefault="00555F41" w:rsidP="00BE5F82">
      <w:pPr>
        <w:jc w:val="both"/>
      </w:pPr>
      <w:r>
        <w:t>ASHRAE Position Document on Airborne Infectious Diseases</w:t>
      </w:r>
      <w:r w:rsidR="00583FCE">
        <w:t>, Approved by the Board of Directors, January 19, 2014. Reaffirmed y the Technology Council, February 5, 2020</w:t>
      </w:r>
    </w:p>
    <w:p w:rsidR="001B7699" w:rsidRPr="005A70B9" w:rsidRDefault="001B7699" w:rsidP="005A70B9">
      <w:pPr>
        <w:jc w:val="both"/>
      </w:pPr>
      <w:r>
        <w:t>SHASE</w:t>
      </w:r>
      <w:r w:rsidR="005A70B9">
        <w:t xml:space="preserve"> and AIJ, </w:t>
      </w:r>
      <w:r w:rsidR="005A70B9" w:rsidRPr="005A70B9">
        <w:t>Role of ventilation in the control of the COVID-19 infection: Emergency presidential discourse</w:t>
      </w:r>
      <w:r w:rsidR="005A70B9">
        <w:t>, March 23, 2020</w:t>
      </w:r>
    </w:p>
    <w:p w:rsidR="00555F41" w:rsidRPr="00555F41" w:rsidRDefault="00555F41" w:rsidP="00BE5F82">
      <w:pPr>
        <w:jc w:val="both"/>
      </w:pPr>
    </w:p>
    <w:sectPr w:rsidR="00555F41" w:rsidRPr="00555F41">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B48" w:rsidRDefault="00E94B48" w:rsidP="005A70B9">
      <w:pPr>
        <w:spacing w:after="0" w:line="240" w:lineRule="auto"/>
      </w:pPr>
      <w:r>
        <w:separator/>
      </w:r>
    </w:p>
  </w:endnote>
  <w:endnote w:type="continuationSeparator" w:id="0">
    <w:p w:rsidR="00E94B48" w:rsidRDefault="00E94B48" w:rsidP="005A7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537517"/>
      <w:docPartObj>
        <w:docPartGallery w:val="Page Numbers (Bottom of Page)"/>
        <w:docPartUnique/>
      </w:docPartObj>
    </w:sdtPr>
    <w:sdtEndPr>
      <w:rPr>
        <w:noProof/>
      </w:rPr>
    </w:sdtEndPr>
    <w:sdtContent>
      <w:p w:rsidR="005A70B9" w:rsidRDefault="005A70B9">
        <w:pPr>
          <w:pStyle w:val="Rodap"/>
          <w:jc w:val="right"/>
        </w:pPr>
        <w:r>
          <w:fldChar w:fldCharType="begin"/>
        </w:r>
        <w:r>
          <w:instrText xml:space="preserve"> PAGE   \* MERGEFORMAT </w:instrText>
        </w:r>
        <w:r>
          <w:fldChar w:fldCharType="separate"/>
        </w:r>
        <w:r w:rsidR="00CD0A99">
          <w:rPr>
            <w:noProof/>
          </w:rPr>
          <w:t>12</w:t>
        </w:r>
        <w:r>
          <w:rPr>
            <w:noProof/>
          </w:rPr>
          <w:fldChar w:fldCharType="end"/>
        </w:r>
      </w:p>
    </w:sdtContent>
  </w:sdt>
  <w:p w:rsidR="005A70B9" w:rsidRDefault="005A70B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B48" w:rsidRDefault="00E94B48" w:rsidP="005A70B9">
      <w:pPr>
        <w:spacing w:after="0" w:line="240" w:lineRule="auto"/>
      </w:pPr>
      <w:r>
        <w:separator/>
      </w:r>
    </w:p>
  </w:footnote>
  <w:footnote w:type="continuationSeparator" w:id="0">
    <w:p w:rsidR="00E94B48" w:rsidRDefault="00E94B48" w:rsidP="005A70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62BE"/>
    <w:multiLevelType w:val="hybridMultilevel"/>
    <w:tmpl w:val="DE3C64C0"/>
    <w:lvl w:ilvl="0" w:tplc="955C9832">
      <w:start w:val="1"/>
      <w:numFmt w:val="bullet"/>
      <w:lvlText w:val="•"/>
      <w:lvlJc w:val="left"/>
      <w:pPr>
        <w:tabs>
          <w:tab w:val="num" w:pos="720"/>
        </w:tabs>
        <w:ind w:left="720" w:hanging="360"/>
      </w:pPr>
      <w:rPr>
        <w:rFonts w:ascii="Times New Roman" w:hAnsi="Times New Roman" w:hint="default"/>
      </w:rPr>
    </w:lvl>
    <w:lvl w:ilvl="1" w:tplc="4B6CE1C6" w:tentative="1">
      <w:start w:val="1"/>
      <w:numFmt w:val="bullet"/>
      <w:lvlText w:val="•"/>
      <w:lvlJc w:val="left"/>
      <w:pPr>
        <w:tabs>
          <w:tab w:val="num" w:pos="1440"/>
        </w:tabs>
        <w:ind w:left="1440" w:hanging="360"/>
      </w:pPr>
      <w:rPr>
        <w:rFonts w:ascii="Times New Roman" w:hAnsi="Times New Roman" w:hint="default"/>
      </w:rPr>
    </w:lvl>
    <w:lvl w:ilvl="2" w:tplc="2D8CDADE" w:tentative="1">
      <w:start w:val="1"/>
      <w:numFmt w:val="bullet"/>
      <w:lvlText w:val="•"/>
      <w:lvlJc w:val="left"/>
      <w:pPr>
        <w:tabs>
          <w:tab w:val="num" w:pos="2160"/>
        </w:tabs>
        <w:ind w:left="2160" w:hanging="360"/>
      </w:pPr>
      <w:rPr>
        <w:rFonts w:ascii="Times New Roman" w:hAnsi="Times New Roman" w:hint="default"/>
      </w:rPr>
    </w:lvl>
    <w:lvl w:ilvl="3" w:tplc="07C69F7C" w:tentative="1">
      <w:start w:val="1"/>
      <w:numFmt w:val="bullet"/>
      <w:lvlText w:val="•"/>
      <w:lvlJc w:val="left"/>
      <w:pPr>
        <w:tabs>
          <w:tab w:val="num" w:pos="2880"/>
        </w:tabs>
        <w:ind w:left="2880" w:hanging="360"/>
      </w:pPr>
      <w:rPr>
        <w:rFonts w:ascii="Times New Roman" w:hAnsi="Times New Roman" w:hint="default"/>
      </w:rPr>
    </w:lvl>
    <w:lvl w:ilvl="4" w:tplc="DD50E40C" w:tentative="1">
      <w:start w:val="1"/>
      <w:numFmt w:val="bullet"/>
      <w:lvlText w:val="•"/>
      <w:lvlJc w:val="left"/>
      <w:pPr>
        <w:tabs>
          <w:tab w:val="num" w:pos="3600"/>
        </w:tabs>
        <w:ind w:left="3600" w:hanging="360"/>
      </w:pPr>
      <w:rPr>
        <w:rFonts w:ascii="Times New Roman" w:hAnsi="Times New Roman" w:hint="default"/>
      </w:rPr>
    </w:lvl>
    <w:lvl w:ilvl="5" w:tplc="4120BDB6" w:tentative="1">
      <w:start w:val="1"/>
      <w:numFmt w:val="bullet"/>
      <w:lvlText w:val="•"/>
      <w:lvlJc w:val="left"/>
      <w:pPr>
        <w:tabs>
          <w:tab w:val="num" w:pos="4320"/>
        </w:tabs>
        <w:ind w:left="4320" w:hanging="360"/>
      </w:pPr>
      <w:rPr>
        <w:rFonts w:ascii="Times New Roman" w:hAnsi="Times New Roman" w:hint="default"/>
      </w:rPr>
    </w:lvl>
    <w:lvl w:ilvl="6" w:tplc="7D98B8F6" w:tentative="1">
      <w:start w:val="1"/>
      <w:numFmt w:val="bullet"/>
      <w:lvlText w:val="•"/>
      <w:lvlJc w:val="left"/>
      <w:pPr>
        <w:tabs>
          <w:tab w:val="num" w:pos="5040"/>
        </w:tabs>
        <w:ind w:left="5040" w:hanging="360"/>
      </w:pPr>
      <w:rPr>
        <w:rFonts w:ascii="Times New Roman" w:hAnsi="Times New Roman" w:hint="default"/>
      </w:rPr>
    </w:lvl>
    <w:lvl w:ilvl="7" w:tplc="6B90DB7E" w:tentative="1">
      <w:start w:val="1"/>
      <w:numFmt w:val="bullet"/>
      <w:lvlText w:val="•"/>
      <w:lvlJc w:val="left"/>
      <w:pPr>
        <w:tabs>
          <w:tab w:val="num" w:pos="5760"/>
        </w:tabs>
        <w:ind w:left="5760" w:hanging="360"/>
      </w:pPr>
      <w:rPr>
        <w:rFonts w:ascii="Times New Roman" w:hAnsi="Times New Roman" w:hint="default"/>
      </w:rPr>
    </w:lvl>
    <w:lvl w:ilvl="8" w:tplc="0254941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A13274C"/>
    <w:multiLevelType w:val="hybridMultilevel"/>
    <w:tmpl w:val="9E68AAEA"/>
    <w:lvl w:ilvl="0" w:tplc="40AA28E8">
      <w:start w:val="1"/>
      <w:numFmt w:val="bullet"/>
      <w:lvlText w:val="-"/>
      <w:lvlJc w:val="left"/>
      <w:pPr>
        <w:tabs>
          <w:tab w:val="num" w:pos="720"/>
        </w:tabs>
        <w:ind w:left="720" w:hanging="360"/>
      </w:pPr>
      <w:rPr>
        <w:rFonts w:ascii="Times New Roman" w:hAnsi="Times New Roman" w:hint="default"/>
      </w:rPr>
    </w:lvl>
    <w:lvl w:ilvl="1" w:tplc="C79068F0" w:tentative="1">
      <w:start w:val="1"/>
      <w:numFmt w:val="bullet"/>
      <w:lvlText w:val="-"/>
      <w:lvlJc w:val="left"/>
      <w:pPr>
        <w:tabs>
          <w:tab w:val="num" w:pos="1440"/>
        </w:tabs>
        <w:ind w:left="1440" w:hanging="360"/>
      </w:pPr>
      <w:rPr>
        <w:rFonts w:ascii="Times New Roman" w:hAnsi="Times New Roman" w:hint="default"/>
      </w:rPr>
    </w:lvl>
    <w:lvl w:ilvl="2" w:tplc="3BE63BFE" w:tentative="1">
      <w:start w:val="1"/>
      <w:numFmt w:val="bullet"/>
      <w:lvlText w:val="-"/>
      <w:lvlJc w:val="left"/>
      <w:pPr>
        <w:tabs>
          <w:tab w:val="num" w:pos="2160"/>
        </w:tabs>
        <w:ind w:left="2160" w:hanging="360"/>
      </w:pPr>
      <w:rPr>
        <w:rFonts w:ascii="Times New Roman" w:hAnsi="Times New Roman" w:hint="default"/>
      </w:rPr>
    </w:lvl>
    <w:lvl w:ilvl="3" w:tplc="011CFA5A" w:tentative="1">
      <w:start w:val="1"/>
      <w:numFmt w:val="bullet"/>
      <w:lvlText w:val="-"/>
      <w:lvlJc w:val="left"/>
      <w:pPr>
        <w:tabs>
          <w:tab w:val="num" w:pos="2880"/>
        </w:tabs>
        <w:ind w:left="2880" w:hanging="360"/>
      </w:pPr>
      <w:rPr>
        <w:rFonts w:ascii="Times New Roman" w:hAnsi="Times New Roman" w:hint="default"/>
      </w:rPr>
    </w:lvl>
    <w:lvl w:ilvl="4" w:tplc="D124D39A" w:tentative="1">
      <w:start w:val="1"/>
      <w:numFmt w:val="bullet"/>
      <w:lvlText w:val="-"/>
      <w:lvlJc w:val="left"/>
      <w:pPr>
        <w:tabs>
          <w:tab w:val="num" w:pos="3600"/>
        </w:tabs>
        <w:ind w:left="3600" w:hanging="360"/>
      </w:pPr>
      <w:rPr>
        <w:rFonts w:ascii="Times New Roman" w:hAnsi="Times New Roman" w:hint="default"/>
      </w:rPr>
    </w:lvl>
    <w:lvl w:ilvl="5" w:tplc="70642E54" w:tentative="1">
      <w:start w:val="1"/>
      <w:numFmt w:val="bullet"/>
      <w:lvlText w:val="-"/>
      <w:lvlJc w:val="left"/>
      <w:pPr>
        <w:tabs>
          <w:tab w:val="num" w:pos="4320"/>
        </w:tabs>
        <w:ind w:left="4320" w:hanging="360"/>
      </w:pPr>
      <w:rPr>
        <w:rFonts w:ascii="Times New Roman" w:hAnsi="Times New Roman" w:hint="default"/>
      </w:rPr>
    </w:lvl>
    <w:lvl w:ilvl="6" w:tplc="C082B85E" w:tentative="1">
      <w:start w:val="1"/>
      <w:numFmt w:val="bullet"/>
      <w:lvlText w:val="-"/>
      <w:lvlJc w:val="left"/>
      <w:pPr>
        <w:tabs>
          <w:tab w:val="num" w:pos="5040"/>
        </w:tabs>
        <w:ind w:left="5040" w:hanging="360"/>
      </w:pPr>
      <w:rPr>
        <w:rFonts w:ascii="Times New Roman" w:hAnsi="Times New Roman" w:hint="default"/>
      </w:rPr>
    </w:lvl>
    <w:lvl w:ilvl="7" w:tplc="752C8DC2" w:tentative="1">
      <w:start w:val="1"/>
      <w:numFmt w:val="bullet"/>
      <w:lvlText w:val="-"/>
      <w:lvlJc w:val="left"/>
      <w:pPr>
        <w:tabs>
          <w:tab w:val="num" w:pos="5760"/>
        </w:tabs>
        <w:ind w:left="5760" w:hanging="360"/>
      </w:pPr>
      <w:rPr>
        <w:rFonts w:ascii="Times New Roman" w:hAnsi="Times New Roman" w:hint="default"/>
      </w:rPr>
    </w:lvl>
    <w:lvl w:ilvl="8" w:tplc="F23A3C2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C4B5C65"/>
    <w:multiLevelType w:val="hybridMultilevel"/>
    <w:tmpl w:val="A196643A"/>
    <w:lvl w:ilvl="0" w:tplc="04090001">
      <w:start w:val="1"/>
      <w:numFmt w:val="bullet"/>
      <w:lvlText w:val=""/>
      <w:lvlJc w:val="left"/>
      <w:pPr>
        <w:tabs>
          <w:tab w:val="num" w:pos="720"/>
        </w:tabs>
        <w:ind w:left="720" w:hanging="360"/>
      </w:pPr>
      <w:rPr>
        <w:rFonts w:ascii="Symbol" w:hAnsi="Symbol" w:hint="default"/>
      </w:rPr>
    </w:lvl>
    <w:lvl w:ilvl="1" w:tplc="C79068F0" w:tentative="1">
      <w:start w:val="1"/>
      <w:numFmt w:val="bullet"/>
      <w:lvlText w:val="-"/>
      <w:lvlJc w:val="left"/>
      <w:pPr>
        <w:tabs>
          <w:tab w:val="num" w:pos="1440"/>
        </w:tabs>
        <w:ind w:left="1440" w:hanging="360"/>
      </w:pPr>
      <w:rPr>
        <w:rFonts w:ascii="Times New Roman" w:hAnsi="Times New Roman" w:hint="default"/>
      </w:rPr>
    </w:lvl>
    <w:lvl w:ilvl="2" w:tplc="3BE63BFE" w:tentative="1">
      <w:start w:val="1"/>
      <w:numFmt w:val="bullet"/>
      <w:lvlText w:val="-"/>
      <w:lvlJc w:val="left"/>
      <w:pPr>
        <w:tabs>
          <w:tab w:val="num" w:pos="2160"/>
        </w:tabs>
        <w:ind w:left="2160" w:hanging="360"/>
      </w:pPr>
      <w:rPr>
        <w:rFonts w:ascii="Times New Roman" w:hAnsi="Times New Roman" w:hint="default"/>
      </w:rPr>
    </w:lvl>
    <w:lvl w:ilvl="3" w:tplc="011CFA5A" w:tentative="1">
      <w:start w:val="1"/>
      <w:numFmt w:val="bullet"/>
      <w:lvlText w:val="-"/>
      <w:lvlJc w:val="left"/>
      <w:pPr>
        <w:tabs>
          <w:tab w:val="num" w:pos="2880"/>
        </w:tabs>
        <w:ind w:left="2880" w:hanging="360"/>
      </w:pPr>
      <w:rPr>
        <w:rFonts w:ascii="Times New Roman" w:hAnsi="Times New Roman" w:hint="default"/>
      </w:rPr>
    </w:lvl>
    <w:lvl w:ilvl="4" w:tplc="D124D39A" w:tentative="1">
      <w:start w:val="1"/>
      <w:numFmt w:val="bullet"/>
      <w:lvlText w:val="-"/>
      <w:lvlJc w:val="left"/>
      <w:pPr>
        <w:tabs>
          <w:tab w:val="num" w:pos="3600"/>
        </w:tabs>
        <w:ind w:left="3600" w:hanging="360"/>
      </w:pPr>
      <w:rPr>
        <w:rFonts w:ascii="Times New Roman" w:hAnsi="Times New Roman" w:hint="default"/>
      </w:rPr>
    </w:lvl>
    <w:lvl w:ilvl="5" w:tplc="70642E54" w:tentative="1">
      <w:start w:val="1"/>
      <w:numFmt w:val="bullet"/>
      <w:lvlText w:val="-"/>
      <w:lvlJc w:val="left"/>
      <w:pPr>
        <w:tabs>
          <w:tab w:val="num" w:pos="4320"/>
        </w:tabs>
        <w:ind w:left="4320" w:hanging="360"/>
      </w:pPr>
      <w:rPr>
        <w:rFonts w:ascii="Times New Roman" w:hAnsi="Times New Roman" w:hint="default"/>
      </w:rPr>
    </w:lvl>
    <w:lvl w:ilvl="6" w:tplc="C082B85E" w:tentative="1">
      <w:start w:val="1"/>
      <w:numFmt w:val="bullet"/>
      <w:lvlText w:val="-"/>
      <w:lvlJc w:val="left"/>
      <w:pPr>
        <w:tabs>
          <w:tab w:val="num" w:pos="5040"/>
        </w:tabs>
        <w:ind w:left="5040" w:hanging="360"/>
      </w:pPr>
      <w:rPr>
        <w:rFonts w:ascii="Times New Roman" w:hAnsi="Times New Roman" w:hint="default"/>
      </w:rPr>
    </w:lvl>
    <w:lvl w:ilvl="7" w:tplc="752C8DC2" w:tentative="1">
      <w:start w:val="1"/>
      <w:numFmt w:val="bullet"/>
      <w:lvlText w:val="-"/>
      <w:lvlJc w:val="left"/>
      <w:pPr>
        <w:tabs>
          <w:tab w:val="num" w:pos="5760"/>
        </w:tabs>
        <w:ind w:left="5760" w:hanging="360"/>
      </w:pPr>
      <w:rPr>
        <w:rFonts w:ascii="Times New Roman" w:hAnsi="Times New Roman" w:hint="default"/>
      </w:rPr>
    </w:lvl>
    <w:lvl w:ilvl="8" w:tplc="F23A3C22"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87D"/>
    <w:rsid w:val="000151EB"/>
    <w:rsid w:val="000216A3"/>
    <w:rsid w:val="0002287D"/>
    <w:rsid w:val="00022FE4"/>
    <w:rsid w:val="00027B74"/>
    <w:rsid w:val="00032699"/>
    <w:rsid w:val="00060425"/>
    <w:rsid w:val="00094345"/>
    <w:rsid w:val="000C4106"/>
    <w:rsid w:val="000E6B93"/>
    <w:rsid w:val="00133508"/>
    <w:rsid w:val="00136D68"/>
    <w:rsid w:val="001B7699"/>
    <w:rsid w:val="001D55D8"/>
    <w:rsid w:val="001F708D"/>
    <w:rsid w:val="00283409"/>
    <w:rsid w:val="002B1CF9"/>
    <w:rsid w:val="002E69BA"/>
    <w:rsid w:val="002F3DFF"/>
    <w:rsid w:val="003432CA"/>
    <w:rsid w:val="003A6E55"/>
    <w:rsid w:val="003E0185"/>
    <w:rsid w:val="003E7434"/>
    <w:rsid w:val="003F765B"/>
    <w:rsid w:val="00465593"/>
    <w:rsid w:val="004A568A"/>
    <w:rsid w:val="00555F41"/>
    <w:rsid w:val="0058010B"/>
    <w:rsid w:val="00583FCE"/>
    <w:rsid w:val="005A25D5"/>
    <w:rsid w:val="005A70B9"/>
    <w:rsid w:val="005D2B13"/>
    <w:rsid w:val="005F616A"/>
    <w:rsid w:val="00600B68"/>
    <w:rsid w:val="0061199E"/>
    <w:rsid w:val="00636CC9"/>
    <w:rsid w:val="00651BF8"/>
    <w:rsid w:val="006E6B0F"/>
    <w:rsid w:val="00722AE2"/>
    <w:rsid w:val="007834BF"/>
    <w:rsid w:val="007F671D"/>
    <w:rsid w:val="008641D0"/>
    <w:rsid w:val="0088512A"/>
    <w:rsid w:val="008878E3"/>
    <w:rsid w:val="008E6315"/>
    <w:rsid w:val="00906460"/>
    <w:rsid w:val="0092241D"/>
    <w:rsid w:val="00935EF3"/>
    <w:rsid w:val="009C10B5"/>
    <w:rsid w:val="00A40D8C"/>
    <w:rsid w:val="00A46124"/>
    <w:rsid w:val="00A530C3"/>
    <w:rsid w:val="00A67EC0"/>
    <w:rsid w:val="00A90AFC"/>
    <w:rsid w:val="00A926B8"/>
    <w:rsid w:val="00AF57E6"/>
    <w:rsid w:val="00B3447F"/>
    <w:rsid w:val="00BE5F82"/>
    <w:rsid w:val="00C33070"/>
    <w:rsid w:val="00C632AA"/>
    <w:rsid w:val="00C962D1"/>
    <w:rsid w:val="00CA6A94"/>
    <w:rsid w:val="00CB7359"/>
    <w:rsid w:val="00CD0A99"/>
    <w:rsid w:val="00CD4221"/>
    <w:rsid w:val="00CE4B32"/>
    <w:rsid w:val="00D7036B"/>
    <w:rsid w:val="00DD0EF5"/>
    <w:rsid w:val="00E67188"/>
    <w:rsid w:val="00E94B48"/>
    <w:rsid w:val="00EC4BDB"/>
    <w:rsid w:val="00EE5B76"/>
    <w:rsid w:val="00F211EA"/>
    <w:rsid w:val="00F335BC"/>
    <w:rsid w:val="00F83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4D35B0-46A6-4499-84A0-D9BAED8E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39"/>
    <w:rsid w:val="00B34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2699"/>
    <w:pPr>
      <w:spacing w:before="100" w:beforeAutospacing="1" w:after="100" w:afterAutospacing="1" w:line="240" w:lineRule="auto"/>
    </w:pPr>
    <w:rPr>
      <w:rFonts w:ascii="Times New Roman" w:eastAsia="Times New Roman" w:hAnsi="Times New Roman" w:cs="Times New Roman"/>
      <w:sz w:val="24"/>
      <w:szCs w:val="24"/>
    </w:rPr>
  </w:style>
  <w:style w:type="character" w:styleId="Hiperligao">
    <w:name w:val="Hyperlink"/>
    <w:basedOn w:val="Tipodeletrapredefinidodopargrafo"/>
    <w:uiPriority w:val="99"/>
    <w:unhideWhenUsed/>
    <w:rsid w:val="00032699"/>
    <w:rPr>
      <w:color w:val="0000FF"/>
      <w:u w:val="single"/>
    </w:rPr>
  </w:style>
  <w:style w:type="paragraph" w:styleId="Cabealho">
    <w:name w:val="header"/>
    <w:basedOn w:val="Normal"/>
    <w:link w:val="CabealhoCarter"/>
    <w:uiPriority w:val="99"/>
    <w:unhideWhenUsed/>
    <w:rsid w:val="005A70B9"/>
    <w:pPr>
      <w:tabs>
        <w:tab w:val="center" w:pos="4680"/>
        <w:tab w:val="right" w:pos="9360"/>
      </w:tabs>
      <w:spacing w:after="0" w:line="240" w:lineRule="auto"/>
    </w:pPr>
  </w:style>
  <w:style w:type="character" w:customStyle="1" w:styleId="CabealhoCarter">
    <w:name w:val="Cabeçalho Caráter"/>
    <w:basedOn w:val="Tipodeletrapredefinidodopargrafo"/>
    <w:link w:val="Cabealho"/>
    <w:uiPriority w:val="99"/>
    <w:rsid w:val="005A70B9"/>
  </w:style>
  <w:style w:type="paragraph" w:styleId="Rodap">
    <w:name w:val="footer"/>
    <w:basedOn w:val="Normal"/>
    <w:link w:val="RodapCarter"/>
    <w:uiPriority w:val="99"/>
    <w:unhideWhenUsed/>
    <w:rsid w:val="005A70B9"/>
    <w:pPr>
      <w:tabs>
        <w:tab w:val="center" w:pos="4680"/>
        <w:tab w:val="right" w:pos="9360"/>
      </w:tabs>
      <w:spacing w:after="0" w:line="240" w:lineRule="auto"/>
    </w:pPr>
  </w:style>
  <w:style w:type="character" w:customStyle="1" w:styleId="RodapCarter">
    <w:name w:val="Rodapé Caráter"/>
    <w:basedOn w:val="Tipodeletrapredefinidodopargrafo"/>
    <w:link w:val="Rodap"/>
    <w:uiPriority w:val="99"/>
    <w:rsid w:val="005A7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43511">
      <w:bodyDiv w:val="1"/>
      <w:marLeft w:val="0"/>
      <w:marRight w:val="0"/>
      <w:marTop w:val="0"/>
      <w:marBottom w:val="0"/>
      <w:divBdr>
        <w:top w:val="none" w:sz="0" w:space="0" w:color="auto"/>
        <w:left w:val="none" w:sz="0" w:space="0" w:color="auto"/>
        <w:bottom w:val="none" w:sz="0" w:space="0" w:color="auto"/>
        <w:right w:val="none" w:sz="0" w:space="0" w:color="auto"/>
      </w:divBdr>
    </w:div>
    <w:div w:id="432897884">
      <w:bodyDiv w:val="1"/>
      <w:marLeft w:val="0"/>
      <w:marRight w:val="0"/>
      <w:marTop w:val="0"/>
      <w:marBottom w:val="0"/>
      <w:divBdr>
        <w:top w:val="none" w:sz="0" w:space="0" w:color="auto"/>
        <w:left w:val="none" w:sz="0" w:space="0" w:color="auto"/>
        <w:bottom w:val="none" w:sz="0" w:space="0" w:color="auto"/>
        <w:right w:val="none" w:sz="0" w:space="0" w:color="auto"/>
      </w:divBdr>
    </w:div>
    <w:div w:id="534270899">
      <w:bodyDiv w:val="1"/>
      <w:marLeft w:val="0"/>
      <w:marRight w:val="0"/>
      <w:marTop w:val="0"/>
      <w:marBottom w:val="0"/>
      <w:divBdr>
        <w:top w:val="none" w:sz="0" w:space="0" w:color="auto"/>
        <w:left w:val="none" w:sz="0" w:space="0" w:color="auto"/>
        <w:bottom w:val="none" w:sz="0" w:space="0" w:color="auto"/>
        <w:right w:val="none" w:sz="0" w:space="0" w:color="auto"/>
      </w:divBdr>
    </w:div>
    <w:div w:id="632054143">
      <w:bodyDiv w:val="1"/>
      <w:marLeft w:val="0"/>
      <w:marRight w:val="0"/>
      <w:marTop w:val="0"/>
      <w:marBottom w:val="0"/>
      <w:divBdr>
        <w:top w:val="none" w:sz="0" w:space="0" w:color="auto"/>
        <w:left w:val="none" w:sz="0" w:space="0" w:color="auto"/>
        <w:bottom w:val="none" w:sz="0" w:space="0" w:color="auto"/>
        <w:right w:val="none" w:sz="0" w:space="0" w:color="auto"/>
      </w:divBdr>
    </w:div>
    <w:div w:id="677657853">
      <w:bodyDiv w:val="1"/>
      <w:marLeft w:val="0"/>
      <w:marRight w:val="0"/>
      <w:marTop w:val="0"/>
      <w:marBottom w:val="0"/>
      <w:divBdr>
        <w:top w:val="none" w:sz="0" w:space="0" w:color="auto"/>
        <w:left w:val="none" w:sz="0" w:space="0" w:color="auto"/>
        <w:bottom w:val="none" w:sz="0" w:space="0" w:color="auto"/>
        <w:right w:val="none" w:sz="0" w:space="0" w:color="auto"/>
      </w:divBdr>
      <w:divsChild>
        <w:div w:id="922838799">
          <w:marLeft w:val="547"/>
          <w:marRight w:val="0"/>
          <w:marTop w:val="0"/>
          <w:marBottom w:val="160"/>
          <w:divBdr>
            <w:top w:val="none" w:sz="0" w:space="0" w:color="auto"/>
            <w:left w:val="none" w:sz="0" w:space="0" w:color="auto"/>
            <w:bottom w:val="none" w:sz="0" w:space="0" w:color="auto"/>
            <w:right w:val="none" w:sz="0" w:space="0" w:color="auto"/>
          </w:divBdr>
        </w:div>
        <w:div w:id="881597773">
          <w:marLeft w:val="547"/>
          <w:marRight w:val="0"/>
          <w:marTop w:val="0"/>
          <w:marBottom w:val="160"/>
          <w:divBdr>
            <w:top w:val="none" w:sz="0" w:space="0" w:color="auto"/>
            <w:left w:val="none" w:sz="0" w:space="0" w:color="auto"/>
            <w:bottom w:val="none" w:sz="0" w:space="0" w:color="auto"/>
            <w:right w:val="none" w:sz="0" w:space="0" w:color="auto"/>
          </w:divBdr>
        </w:div>
        <w:div w:id="1597514715">
          <w:marLeft w:val="547"/>
          <w:marRight w:val="0"/>
          <w:marTop w:val="0"/>
          <w:marBottom w:val="160"/>
          <w:divBdr>
            <w:top w:val="none" w:sz="0" w:space="0" w:color="auto"/>
            <w:left w:val="none" w:sz="0" w:space="0" w:color="auto"/>
            <w:bottom w:val="none" w:sz="0" w:space="0" w:color="auto"/>
            <w:right w:val="none" w:sz="0" w:space="0" w:color="auto"/>
          </w:divBdr>
        </w:div>
      </w:divsChild>
    </w:div>
    <w:div w:id="1130513209">
      <w:bodyDiv w:val="1"/>
      <w:marLeft w:val="0"/>
      <w:marRight w:val="0"/>
      <w:marTop w:val="0"/>
      <w:marBottom w:val="0"/>
      <w:divBdr>
        <w:top w:val="none" w:sz="0" w:space="0" w:color="auto"/>
        <w:left w:val="none" w:sz="0" w:space="0" w:color="auto"/>
        <w:bottom w:val="none" w:sz="0" w:space="0" w:color="auto"/>
        <w:right w:val="none" w:sz="0" w:space="0" w:color="auto"/>
      </w:divBdr>
    </w:div>
    <w:div w:id="1157965329">
      <w:bodyDiv w:val="1"/>
      <w:marLeft w:val="0"/>
      <w:marRight w:val="0"/>
      <w:marTop w:val="0"/>
      <w:marBottom w:val="0"/>
      <w:divBdr>
        <w:top w:val="none" w:sz="0" w:space="0" w:color="auto"/>
        <w:left w:val="none" w:sz="0" w:space="0" w:color="auto"/>
        <w:bottom w:val="none" w:sz="0" w:space="0" w:color="auto"/>
        <w:right w:val="none" w:sz="0" w:space="0" w:color="auto"/>
      </w:divBdr>
    </w:div>
    <w:div w:id="1235629021">
      <w:bodyDiv w:val="1"/>
      <w:marLeft w:val="0"/>
      <w:marRight w:val="0"/>
      <w:marTop w:val="0"/>
      <w:marBottom w:val="0"/>
      <w:divBdr>
        <w:top w:val="none" w:sz="0" w:space="0" w:color="auto"/>
        <w:left w:val="none" w:sz="0" w:space="0" w:color="auto"/>
        <w:bottom w:val="none" w:sz="0" w:space="0" w:color="auto"/>
        <w:right w:val="none" w:sz="0" w:space="0" w:color="auto"/>
      </w:divBdr>
    </w:div>
    <w:div w:id="1301306217">
      <w:bodyDiv w:val="1"/>
      <w:marLeft w:val="0"/>
      <w:marRight w:val="0"/>
      <w:marTop w:val="0"/>
      <w:marBottom w:val="0"/>
      <w:divBdr>
        <w:top w:val="none" w:sz="0" w:space="0" w:color="auto"/>
        <w:left w:val="none" w:sz="0" w:space="0" w:color="auto"/>
        <w:bottom w:val="none" w:sz="0" w:space="0" w:color="auto"/>
        <w:right w:val="none" w:sz="0" w:space="0" w:color="auto"/>
      </w:divBdr>
      <w:divsChild>
        <w:div w:id="2016109891">
          <w:marLeft w:val="446"/>
          <w:marRight w:val="0"/>
          <w:marTop w:val="0"/>
          <w:marBottom w:val="0"/>
          <w:divBdr>
            <w:top w:val="none" w:sz="0" w:space="0" w:color="auto"/>
            <w:left w:val="none" w:sz="0" w:space="0" w:color="auto"/>
            <w:bottom w:val="none" w:sz="0" w:space="0" w:color="auto"/>
            <w:right w:val="none" w:sz="0" w:space="0" w:color="auto"/>
          </w:divBdr>
        </w:div>
        <w:div w:id="22755107">
          <w:marLeft w:val="446"/>
          <w:marRight w:val="0"/>
          <w:marTop w:val="0"/>
          <w:marBottom w:val="0"/>
          <w:divBdr>
            <w:top w:val="none" w:sz="0" w:space="0" w:color="auto"/>
            <w:left w:val="none" w:sz="0" w:space="0" w:color="auto"/>
            <w:bottom w:val="none" w:sz="0" w:space="0" w:color="auto"/>
            <w:right w:val="none" w:sz="0" w:space="0" w:color="auto"/>
          </w:divBdr>
        </w:div>
        <w:div w:id="1652172549">
          <w:marLeft w:val="446"/>
          <w:marRight w:val="0"/>
          <w:marTop w:val="0"/>
          <w:marBottom w:val="0"/>
          <w:divBdr>
            <w:top w:val="none" w:sz="0" w:space="0" w:color="auto"/>
            <w:left w:val="none" w:sz="0" w:space="0" w:color="auto"/>
            <w:bottom w:val="none" w:sz="0" w:space="0" w:color="auto"/>
            <w:right w:val="none" w:sz="0" w:space="0" w:color="auto"/>
          </w:divBdr>
        </w:div>
        <w:div w:id="1219437806">
          <w:marLeft w:val="446"/>
          <w:marRight w:val="0"/>
          <w:marTop w:val="0"/>
          <w:marBottom w:val="0"/>
          <w:divBdr>
            <w:top w:val="none" w:sz="0" w:space="0" w:color="auto"/>
            <w:left w:val="none" w:sz="0" w:space="0" w:color="auto"/>
            <w:bottom w:val="none" w:sz="0" w:space="0" w:color="auto"/>
            <w:right w:val="none" w:sz="0" w:space="0" w:color="auto"/>
          </w:divBdr>
        </w:div>
      </w:divsChild>
    </w:div>
    <w:div w:id="1378164505">
      <w:bodyDiv w:val="1"/>
      <w:marLeft w:val="0"/>
      <w:marRight w:val="0"/>
      <w:marTop w:val="0"/>
      <w:marBottom w:val="0"/>
      <w:divBdr>
        <w:top w:val="none" w:sz="0" w:space="0" w:color="auto"/>
        <w:left w:val="none" w:sz="0" w:space="0" w:color="auto"/>
        <w:bottom w:val="none" w:sz="0" w:space="0" w:color="auto"/>
        <w:right w:val="none" w:sz="0" w:space="0" w:color="auto"/>
      </w:divBdr>
    </w:div>
    <w:div w:id="1379430820">
      <w:bodyDiv w:val="1"/>
      <w:marLeft w:val="0"/>
      <w:marRight w:val="0"/>
      <w:marTop w:val="0"/>
      <w:marBottom w:val="0"/>
      <w:divBdr>
        <w:top w:val="none" w:sz="0" w:space="0" w:color="auto"/>
        <w:left w:val="none" w:sz="0" w:space="0" w:color="auto"/>
        <w:bottom w:val="none" w:sz="0" w:space="0" w:color="auto"/>
        <w:right w:val="none" w:sz="0" w:space="0" w:color="auto"/>
      </w:divBdr>
    </w:div>
    <w:div w:id="148546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hyperlink" Target="https://www.rehva.eu/activities/covid-19-guidanc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3712</Words>
  <Characters>20051</Characters>
  <Application>Microsoft Office Word</Application>
  <DocSecurity>0</DocSecurity>
  <Lines>167</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Cristina Pinto</cp:lastModifiedBy>
  <cp:revision>11</cp:revision>
  <dcterms:created xsi:type="dcterms:W3CDTF">2020-03-30T08:59:00Z</dcterms:created>
  <dcterms:modified xsi:type="dcterms:W3CDTF">2020-03-30T18:28:00Z</dcterms:modified>
</cp:coreProperties>
</file>