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A5BB" w14:textId="42DB2F5B" w:rsidR="002C2BE2" w:rsidRPr="00CC0FBB" w:rsidRDefault="00CC0FBB">
      <w:pPr>
        <w:rPr>
          <w:rFonts w:cstheme="minorHAnsi"/>
          <w:b/>
          <w:bCs/>
          <w:sz w:val="28"/>
          <w:szCs w:val="28"/>
          <w:lang w:val="pt-PT"/>
        </w:rPr>
      </w:pPr>
      <w:r w:rsidRPr="00CC0FBB">
        <w:rPr>
          <w:rFonts w:cstheme="minorHAnsi"/>
          <w:b/>
          <w:bCs/>
          <w:sz w:val="28"/>
          <w:szCs w:val="28"/>
          <w:lang w:val="pt-PT"/>
        </w:rPr>
        <w:t xml:space="preserve">O ensino não presencial pode gerar </w:t>
      </w:r>
      <w:r w:rsidRPr="00CC0FBB">
        <w:rPr>
          <w:rFonts w:cstheme="minorHAnsi"/>
          <w:b/>
          <w:bCs/>
          <w:sz w:val="28"/>
          <w:szCs w:val="28"/>
          <w:lang w:val="pt-PT"/>
        </w:rPr>
        <w:t>desigualdades</w:t>
      </w:r>
      <w:r w:rsidRPr="00CC0FBB">
        <w:rPr>
          <w:rFonts w:cstheme="minorHAnsi"/>
          <w:b/>
          <w:bCs/>
          <w:sz w:val="28"/>
          <w:szCs w:val="28"/>
          <w:lang w:val="pt-PT"/>
        </w:rPr>
        <w:t xml:space="preserve"> educativas</w:t>
      </w:r>
    </w:p>
    <w:p w14:paraId="6DB48568" w14:textId="416ECE55" w:rsidR="00CC0FBB" w:rsidRPr="00CC0FBB" w:rsidRDefault="00CC0FBB">
      <w:pPr>
        <w:rPr>
          <w:rFonts w:cstheme="minorHAnsi"/>
          <w:sz w:val="24"/>
          <w:szCs w:val="24"/>
          <w:lang w:val="pt-PT"/>
        </w:rPr>
      </w:pPr>
    </w:p>
    <w:p w14:paraId="29B15F6D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 xml:space="preserve">Com o arranque do terceiro período escolar com aulas à distância devido à pandemia da Covid-19, um grupo de investigadores da Faculdade de Psicologia e de Ciências da Educação da Universidade Coimbra (FPCEUC) </w:t>
      </w:r>
      <w:r w:rsidRPr="00CC0FBB">
        <w:rPr>
          <w:rFonts w:cstheme="minorHAnsi"/>
          <w:b/>
          <w:sz w:val="24"/>
          <w:szCs w:val="24"/>
          <w:lang w:val="pt-PT"/>
        </w:rPr>
        <w:t>chama a atenção para os aspetos que devem ser acautelados para não reforçar as desigualdades na educação</w:t>
      </w:r>
      <w:r w:rsidRPr="00CC0FBB">
        <w:rPr>
          <w:rFonts w:cstheme="minorHAnsi"/>
          <w:sz w:val="24"/>
          <w:szCs w:val="24"/>
          <w:lang w:val="pt-PT"/>
        </w:rPr>
        <w:t>.</w:t>
      </w:r>
    </w:p>
    <w:p w14:paraId="14A6A793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5877771C" w14:textId="103F6C9F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 xml:space="preserve">Partindo de uma análise ao </w:t>
      </w:r>
      <w:hyperlink r:id="rId4" w:tgtFrame="_blank" w:history="1">
        <w:r w:rsidRPr="00CC0FBB">
          <w:rPr>
            <w:rStyle w:val="Forte"/>
            <w:rFonts w:cstheme="minorHAnsi"/>
            <w:color w:val="0000FF"/>
            <w:sz w:val="24"/>
            <w:szCs w:val="24"/>
            <w:u w:val="single"/>
            <w:lang w:val="pt-PT"/>
          </w:rPr>
          <w:t>roteiro para guiar a resposta educacional à pandemia </w:t>
        </w:r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de Fernando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Reimers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 (Harvard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Graduate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School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of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Education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) e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Andreas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 </w:t>
        </w:r>
        <w:proofErr w:type="spellStart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>Schleicher</w:t>
        </w:r>
        <w:proofErr w:type="spellEnd"/>
        <w:r w:rsidRPr="00CC0FBB">
          <w:rPr>
            <w:rStyle w:val="Hiperligao"/>
            <w:rFonts w:cstheme="minorHAnsi"/>
            <w:sz w:val="24"/>
            <w:szCs w:val="24"/>
            <w:lang w:val="pt-PT"/>
          </w:rPr>
          <w:t xml:space="preserve"> (OECD Diretorado de Educação)</w:t>
        </w:r>
      </w:hyperlink>
      <w:r w:rsidRPr="00CC0FBB">
        <w:rPr>
          <w:rStyle w:val="Hiperligao"/>
          <w:rFonts w:cstheme="minorHAnsi"/>
          <w:sz w:val="24"/>
          <w:szCs w:val="24"/>
          <w:lang w:val="pt-PT"/>
        </w:rPr>
        <w:t xml:space="preserve">, </w:t>
      </w:r>
      <w:r w:rsidRPr="00CC0FBB">
        <w:rPr>
          <w:rFonts w:cstheme="minorHAnsi"/>
          <w:sz w:val="24"/>
          <w:szCs w:val="24"/>
          <w:lang w:val="pt-PT"/>
        </w:rPr>
        <w:t>Ana Maria Seixas, António Gomes Ferreira e Isabel Festas</w:t>
      </w:r>
      <w:r w:rsidR="001B71BB">
        <w:rPr>
          <w:rFonts w:cstheme="minorHAnsi"/>
          <w:sz w:val="24"/>
          <w:szCs w:val="24"/>
          <w:lang w:val="pt-PT"/>
        </w:rPr>
        <w:t xml:space="preserve">, </w:t>
      </w:r>
      <w:r w:rsidR="001B71BB" w:rsidRPr="00CC0FBB">
        <w:rPr>
          <w:rFonts w:cstheme="minorHAnsi"/>
          <w:sz w:val="24"/>
          <w:szCs w:val="24"/>
          <w:lang w:val="pt-PT"/>
        </w:rPr>
        <w:t>da Faculdade de Psicologia e de Ciências da Educação da Universidade Coimbra (FPCEUC)</w:t>
      </w:r>
      <w:r w:rsidR="001B71BB">
        <w:rPr>
          <w:rFonts w:cstheme="minorHAnsi"/>
          <w:sz w:val="24"/>
          <w:szCs w:val="24"/>
          <w:lang w:val="pt-PT"/>
        </w:rPr>
        <w:t>,</w:t>
      </w:r>
      <w:r w:rsidRPr="00CC0FBB">
        <w:rPr>
          <w:rFonts w:cstheme="minorHAnsi"/>
          <w:sz w:val="24"/>
          <w:szCs w:val="24"/>
          <w:lang w:val="pt-PT"/>
        </w:rPr>
        <w:t xml:space="preserve"> alertam que «</w:t>
      </w:r>
      <w:r w:rsidRPr="00CC0FBB">
        <w:rPr>
          <w:rFonts w:cstheme="minorHAnsi"/>
          <w:b/>
          <w:sz w:val="24"/>
          <w:szCs w:val="24"/>
          <w:lang w:val="pt-PT"/>
        </w:rPr>
        <w:t>é fundamental perceber que a atual situação pode potenciar ainda mais as desigualdades já existentes no ensino básico e secundário. Amplamente reconhecidas na realidade prévia à COVID, as desigualdades em educação podem ver-se muito aumentadas com o atual afastamento físico e social dos alunos da escola. Não apenas pela eventual ausência de acesso a estes meios que pode ser grandemente ultrapassada com medidas como a do Governo Português de incrementar programas através da TV, mas pela desmobilização e pelo abandono previsíveis numa população que, como é sabido, nunca terá o mesmo tipo de apoio familiar dos mais privilegiados</w:t>
      </w:r>
      <w:r w:rsidRPr="00CC0FBB">
        <w:rPr>
          <w:rFonts w:cstheme="minorHAnsi"/>
          <w:sz w:val="24"/>
          <w:szCs w:val="24"/>
          <w:lang w:val="pt-PT"/>
        </w:rPr>
        <w:t xml:space="preserve">». </w:t>
      </w:r>
    </w:p>
    <w:p w14:paraId="6CECCA62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>Neste contexto, sublinham os especialistas da Universidade de Coimbra, «</w:t>
      </w:r>
      <w:r w:rsidRPr="00CC0FBB">
        <w:rPr>
          <w:rFonts w:cstheme="minorHAnsi"/>
          <w:b/>
          <w:sz w:val="24"/>
          <w:szCs w:val="24"/>
          <w:lang w:val="pt-PT"/>
        </w:rPr>
        <w:t>é necessário que se tomem medidas imediatas, de seguimento e apoio particular aos mais vulneráveis, mas, também, que se prevejam planos de ação num futuro a curto prazo, quando for possível o regresso às escolas. Estes planos devem contemplar programas de compensação e de recuperação das aprendizagens perdidas ou pouco conseguidas. Trata-se de um empreendimento que vai exigir um enorme esforço, mas em que vale a pena investir para prevenir uma situação que pode ser catastrófica em termos de acentuação das desigualdades</w:t>
      </w:r>
      <w:r w:rsidRPr="00CC0FBB">
        <w:rPr>
          <w:rFonts w:cstheme="minorHAnsi"/>
          <w:sz w:val="24"/>
          <w:szCs w:val="24"/>
          <w:lang w:val="pt-PT"/>
        </w:rPr>
        <w:t xml:space="preserve">». </w:t>
      </w:r>
    </w:p>
    <w:p w14:paraId="1CF06135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lastRenderedPageBreak/>
        <w:t>A avaliação dos alunos que estão nestas situações, a elaboração dos programas e modalidades de compensação e de atuação, bem como recrutamento dos professores necessários são algumas das medidas defendidas por estes investigadores.</w:t>
      </w:r>
    </w:p>
    <w:p w14:paraId="125F28D7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>No que respeita ao recurso à educação a distância e às plataformas digitais, plenamente «</w:t>
      </w:r>
      <w:r w:rsidRPr="00CC0FBB">
        <w:rPr>
          <w:rFonts w:cstheme="minorHAnsi"/>
          <w:b/>
          <w:sz w:val="24"/>
          <w:szCs w:val="24"/>
          <w:lang w:val="pt-PT"/>
        </w:rPr>
        <w:t>justificado nesta situação de exceção</w:t>
      </w:r>
      <w:r w:rsidRPr="00CC0FBB">
        <w:rPr>
          <w:rFonts w:cstheme="minorHAnsi"/>
          <w:sz w:val="24"/>
          <w:szCs w:val="24"/>
          <w:lang w:val="pt-PT"/>
        </w:rPr>
        <w:t>», Ana Maria Seixas, António Gomes Ferreira e Isabel Festas afirmam que «</w:t>
      </w:r>
      <w:r w:rsidRPr="00CC0FBB">
        <w:rPr>
          <w:rFonts w:cstheme="minorHAnsi"/>
          <w:b/>
          <w:sz w:val="24"/>
          <w:szCs w:val="24"/>
          <w:lang w:val="pt-PT"/>
        </w:rPr>
        <w:t>a relevância que lhes é dada não pode servir para pensar este momento como algo regenerador do futuro. Admitindo que é necessário inovar em educação, é muito importante perceber que qualquer renovação/inovação tem de ser equacionada em função de ambientes ótimos de aprendizagem e de socialização, necessariamente reportados a formas presenciais, as únicas que permitem a partilha, a cooperação entre professores, entre alunos, entre professores e alunos e entre todos os intervenientes do processo educativo</w:t>
      </w:r>
      <w:r w:rsidRPr="00CC0FBB">
        <w:rPr>
          <w:rFonts w:cstheme="minorHAnsi"/>
          <w:sz w:val="24"/>
          <w:szCs w:val="24"/>
          <w:lang w:val="pt-PT"/>
        </w:rPr>
        <w:t xml:space="preserve">». </w:t>
      </w:r>
    </w:p>
    <w:p w14:paraId="2BCE3EB5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>«</w:t>
      </w:r>
      <w:r w:rsidRPr="00CC0FBB">
        <w:rPr>
          <w:rFonts w:cstheme="minorHAnsi"/>
          <w:b/>
          <w:sz w:val="24"/>
          <w:szCs w:val="24"/>
          <w:lang w:val="pt-PT"/>
        </w:rPr>
        <w:t>Pela sua natureza e missão, a educação escolar no ensino básico e secundário ocorre num espaço coletivo e formativo, em que a criação de comunidades de aprendizagem reais e não virtuais é uma condição para a consecução das suas finalidades. Neste sentido, os meios digitais e a distância, podendo ser usados como recursos, não serão nunca substitutivos da presença em espaço escolar dos membros da comunidade educativa</w:t>
      </w:r>
      <w:r w:rsidRPr="00CC0FBB">
        <w:rPr>
          <w:rFonts w:cstheme="minorHAnsi"/>
          <w:sz w:val="24"/>
          <w:szCs w:val="24"/>
          <w:lang w:val="pt-PT"/>
        </w:rPr>
        <w:t xml:space="preserve">», fundamentam. </w:t>
      </w:r>
    </w:p>
    <w:p w14:paraId="4E2F0B9C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>Por último, os três investigadores defendem o papel crucial da Universidade «</w:t>
      </w:r>
      <w:r w:rsidRPr="00CC0FBB">
        <w:rPr>
          <w:rFonts w:cstheme="minorHAnsi"/>
          <w:b/>
          <w:sz w:val="24"/>
          <w:szCs w:val="24"/>
          <w:lang w:val="pt-PT"/>
        </w:rPr>
        <w:t>como espaço de criação do conhecimento indispensável à resolução de problemas como este com que nos confrontamos. Por um lado, é o desenvolvimento da investigação em diversas áreas científicas que pode trazer as soluções necessárias à criação de vacinas e ao tratamento de doenças como aquela com que agora somos confrontados. Por outro lado, é o pensamento, tal como é desenvolvido nas áreas das ciências sociais e humanas que pode dar-nos grelhas de leitura sobre o que se passa, bem como apontar os caminhos e as saídas a seguir e a adotar</w:t>
      </w:r>
      <w:r w:rsidRPr="00CC0FBB">
        <w:rPr>
          <w:rFonts w:cstheme="minorHAnsi"/>
          <w:sz w:val="24"/>
          <w:szCs w:val="24"/>
          <w:lang w:val="pt-PT"/>
        </w:rPr>
        <w:t xml:space="preserve">». </w:t>
      </w:r>
    </w:p>
    <w:p w14:paraId="2E8EDEC0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 xml:space="preserve">O documento “A </w:t>
      </w:r>
      <w:proofErr w:type="spellStart"/>
      <w:r w:rsidRPr="00CC0FBB">
        <w:rPr>
          <w:rFonts w:cstheme="minorHAnsi"/>
          <w:sz w:val="24"/>
          <w:szCs w:val="24"/>
          <w:lang w:val="pt-PT"/>
        </w:rPr>
        <w:t>framework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to </w:t>
      </w:r>
      <w:proofErr w:type="spellStart"/>
      <w:r w:rsidRPr="00CC0FBB">
        <w:rPr>
          <w:rFonts w:cstheme="minorHAnsi"/>
          <w:sz w:val="24"/>
          <w:szCs w:val="24"/>
          <w:lang w:val="pt-PT"/>
        </w:rPr>
        <w:t>guide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CC0FBB">
        <w:rPr>
          <w:rFonts w:cstheme="minorHAnsi"/>
          <w:sz w:val="24"/>
          <w:szCs w:val="24"/>
          <w:lang w:val="pt-PT"/>
        </w:rPr>
        <w:t>an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CC0FBB">
        <w:rPr>
          <w:rFonts w:cstheme="minorHAnsi"/>
          <w:sz w:val="24"/>
          <w:szCs w:val="24"/>
          <w:lang w:val="pt-PT"/>
        </w:rPr>
        <w:t>education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response to </w:t>
      </w:r>
      <w:proofErr w:type="spellStart"/>
      <w:r w:rsidRPr="00CC0FBB">
        <w:rPr>
          <w:rFonts w:cstheme="minorHAnsi"/>
          <w:sz w:val="24"/>
          <w:szCs w:val="24"/>
          <w:lang w:val="pt-PT"/>
        </w:rPr>
        <w:t>the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COVID-19 </w:t>
      </w:r>
      <w:proofErr w:type="spellStart"/>
      <w:r w:rsidRPr="00CC0FBB">
        <w:rPr>
          <w:rFonts w:cstheme="minorHAnsi"/>
          <w:sz w:val="24"/>
          <w:szCs w:val="24"/>
          <w:lang w:val="pt-PT"/>
        </w:rPr>
        <w:t>Pandemic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CC0FBB">
        <w:rPr>
          <w:rFonts w:cstheme="minorHAnsi"/>
          <w:sz w:val="24"/>
          <w:szCs w:val="24"/>
          <w:lang w:val="pt-PT"/>
        </w:rPr>
        <w:t>of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2020”, de </w:t>
      </w:r>
      <w:proofErr w:type="spellStart"/>
      <w:r w:rsidRPr="00CC0FBB">
        <w:rPr>
          <w:rFonts w:cstheme="minorHAnsi"/>
          <w:sz w:val="24"/>
          <w:szCs w:val="24"/>
          <w:lang w:val="pt-PT"/>
        </w:rPr>
        <w:t>Reimers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e </w:t>
      </w:r>
      <w:proofErr w:type="spellStart"/>
      <w:r w:rsidRPr="00CC0FBB">
        <w:rPr>
          <w:rFonts w:cstheme="minorHAnsi"/>
          <w:sz w:val="24"/>
          <w:szCs w:val="24"/>
          <w:lang w:val="pt-PT"/>
        </w:rPr>
        <w:t>Schleicher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, identifica os aspetos e as áreas que devem ser considerados nos planos destinados a garantir a continuidade da educação e da </w:t>
      </w:r>
      <w:r w:rsidRPr="00CC0FBB">
        <w:rPr>
          <w:rFonts w:cstheme="minorHAnsi"/>
          <w:sz w:val="24"/>
          <w:szCs w:val="24"/>
          <w:lang w:val="pt-PT"/>
        </w:rPr>
        <w:lastRenderedPageBreak/>
        <w:t>aprendizagem, neste novo contexto, baseando-se num levantamento de necessidades junto de 98 países (Portugal incluído).</w:t>
      </w:r>
    </w:p>
    <w:p w14:paraId="4E1A241E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 xml:space="preserve">Em anexo, segue o artigo integral produzido pelos cientistas da UC no âmbito da plataforma UC </w:t>
      </w:r>
      <w:proofErr w:type="spellStart"/>
      <w:r w:rsidRPr="00CC0FBB">
        <w:rPr>
          <w:rFonts w:cstheme="minorHAnsi"/>
          <w:sz w:val="24"/>
          <w:szCs w:val="24"/>
          <w:lang w:val="pt-PT"/>
        </w:rPr>
        <w:t>Against</w:t>
      </w:r>
      <w:proofErr w:type="spellEnd"/>
      <w:r w:rsidRPr="00CC0FBB">
        <w:rPr>
          <w:rFonts w:cstheme="minorHAnsi"/>
          <w:sz w:val="24"/>
          <w:szCs w:val="24"/>
          <w:lang w:val="pt-PT"/>
        </w:rPr>
        <w:t xml:space="preserve"> Covid-19, que reúne todos os projetos da Universidade de Coimbra associados aos efeitos e à luta contra a pandemia.</w:t>
      </w:r>
    </w:p>
    <w:p w14:paraId="5BE86EFC" w14:textId="77777777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15636974" w14:textId="7621C65C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>Cristina Pinto</w:t>
      </w:r>
      <w:r w:rsidRPr="00CC0FBB">
        <w:rPr>
          <w:rFonts w:cstheme="minorHAnsi"/>
          <w:sz w:val="24"/>
          <w:szCs w:val="24"/>
          <w:lang w:val="pt-PT"/>
        </w:rPr>
        <w:t xml:space="preserve"> (</w:t>
      </w:r>
      <w:r w:rsidRPr="00CC0FBB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CC0FBB">
        <w:rPr>
          <w:rFonts w:cstheme="minorHAnsi"/>
          <w:sz w:val="24"/>
          <w:szCs w:val="24"/>
          <w:lang w:val="pt-PT"/>
        </w:rPr>
        <w:t xml:space="preserve"> -</w:t>
      </w:r>
      <w:r w:rsidRPr="00CC0FBB">
        <w:rPr>
          <w:rFonts w:cstheme="minorHAnsi"/>
          <w:sz w:val="24"/>
          <w:szCs w:val="24"/>
          <w:lang w:val="pt-PT"/>
        </w:rPr>
        <w:t>Comunicação de Ciência</w:t>
      </w:r>
      <w:r w:rsidRPr="00CC0FBB">
        <w:rPr>
          <w:rFonts w:cstheme="minorHAnsi"/>
          <w:sz w:val="24"/>
          <w:szCs w:val="24"/>
          <w:lang w:val="pt-PT"/>
        </w:rPr>
        <w:t>)</w:t>
      </w:r>
    </w:p>
    <w:p w14:paraId="08C39ED4" w14:textId="44DE2060" w:rsidR="00CC0FBB" w:rsidRPr="00CC0FBB" w:rsidRDefault="00CC0FBB" w:rsidP="00CC0FB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C0FBB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52EE6DEA" w14:textId="77777777" w:rsidR="00CC0FBB" w:rsidRPr="00CC0FBB" w:rsidRDefault="00CC0FBB">
      <w:pPr>
        <w:rPr>
          <w:lang w:val="pt-PT"/>
        </w:rPr>
      </w:pPr>
    </w:p>
    <w:sectPr w:rsidR="00CC0FBB" w:rsidRPr="00CC0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B"/>
    <w:rsid w:val="001B71BB"/>
    <w:rsid w:val="002C2BE2"/>
    <w:rsid w:val="0046779B"/>
    <w:rsid w:val="007B5B74"/>
    <w:rsid w:val="00C26C8F"/>
    <w:rsid w:val="00C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9E63"/>
  <w15:chartTrackingRefBased/>
  <w15:docId w15:val="{9E4E05DB-ECFF-48E5-83AD-07CCAE7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C0FBB"/>
    <w:rPr>
      <w:rFonts w:cs="Times New Roman"/>
      <w:b/>
      <w:bCs/>
    </w:rPr>
  </w:style>
  <w:style w:type="character" w:styleId="Hiperligao">
    <w:name w:val="Hyperlink"/>
    <w:uiPriority w:val="99"/>
    <w:rsid w:val="00CC0F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ed.gse.harvard.edu/our-publication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2020-04-16T13:57:00Z</dcterms:created>
  <dcterms:modified xsi:type="dcterms:W3CDTF">2020-04-16T14:04:00Z</dcterms:modified>
</cp:coreProperties>
</file>