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DFD" w:rsidRPr="00E80DFD" w:rsidRDefault="00E80DFD" w:rsidP="00E80DFD">
      <w:pPr>
        <w:shd w:val="clear" w:color="auto" w:fill="FFFFFF"/>
        <w:spacing w:after="0" w:line="240" w:lineRule="auto"/>
        <w:rPr>
          <w:rFonts w:eastAsia="Times New Roman" w:cs="Arial"/>
          <w:color w:val="222222"/>
          <w:sz w:val="28"/>
          <w:szCs w:val="28"/>
          <w:lang w:eastAsia="pt-PT"/>
        </w:rPr>
      </w:pPr>
      <w:r w:rsidRPr="00E80DFD">
        <w:rPr>
          <w:rFonts w:eastAsia="Times New Roman" w:cs="Arial"/>
          <w:b/>
          <w:bCs/>
          <w:color w:val="222222"/>
          <w:sz w:val="28"/>
          <w:szCs w:val="28"/>
          <w:lang w:eastAsia="pt-PT"/>
        </w:rPr>
        <w:t>Olhar as Células por Dentro</w:t>
      </w:r>
      <w:r w:rsidR="00270EAF">
        <w:rPr>
          <w:rFonts w:eastAsia="Times New Roman" w:cs="Arial"/>
          <w:color w:val="222222"/>
          <w:sz w:val="28"/>
          <w:szCs w:val="28"/>
          <w:lang w:eastAsia="pt-PT"/>
        </w:rPr>
        <w:t xml:space="preserve"> - </w:t>
      </w:r>
      <w:r w:rsidRPr="00E80DFD">
        <w:rPr>
          <w:rFonts w:eastAsia="Times New Roman" w:cs="Arial"/>
          <w:b/>
          <w:bCs/>
          <w:color w:val="222222"/>
          <w:sz w:val="28"/>
          <w:szCs w:val="28"/>
          <w:lang w:eastAsia="pt-PT"/>
        </w:rPr>
        <w:t>Bióloga portuguesa vence prémio americano</w:t>
      </w:r>
    </w:p>
    <w:p w:rsidR="00E80DFD" w:rsidRDefault="00E80DFD" w:rsidP="00E80DFD">
      <w:pPr>
        <w:shd w:val="clear" w:color="auto" w:fill="FFFFFF"/>
        <w:spacing w:after="0" w:line="240" w:lineRule="auto"/>
        <w:ind w:right="140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E80DFD" w:rsidRPr="00E80DFD" w:rsidRDefault="00E80DFD" w:rsidP="00E80DFD">
      <w:pPr>
        <w:shd w:val="clear" w:color="auto" w:fill="FFFFFF"/>
        <w:spacing w:after="0" w:line="240" w:lineRule="auto"/>
        <w:ind w:right="140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Mónica Bettencourt-Dias, investigadora principal do grupo de Regulação do Ciclo Celular do Instituto Gulbenkian de Ciência</w:t>
      </w:r>
      <w:r>
        <w:rPr>
          <w:rFonts w:eastAsia="Times New Roman" w:cs="Arial"/>
          <w:color w:val="222222"/>
          <w:sz w:val="24"/>
          <w:szCs w:val="24"/>
          <w:lang w:eastAsia="pt-PT"/>
        </w:rPr>
        <w:t>*</w:t>
      </w:r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, recebeu a bolsa "Keith R. </w:t>
      </w:r>
      <w:proofErr w:type="spellStart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Porter</w:t>
      </w:r>
      <w:proofErr w:type="spellEnd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" da Sociedade Americana de Biologia Celular (ASCB) (</w:t>
      </w:r>
      <w:hyperlink r:id="rId4" w:tgtFrame="_blank" w:history="1">
        <w:r w:rsidRPr="00E80DFD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>http://www.ascb.org/</w:t>
        </w:r>
      </w:hyperlink>
      <w:r w:rsidR="00270EAF">
        <w:rPr>
          <w:rFonts w:eastAsia="Times New Roman" w:cs="Arial"/>
          <w:color w:val="222222"/>
          <w:sz w:val="24"/>
          <w:szCs w:val="24"/>
          <w:lang w:eastAsia="pt-PT"/>
        </w:rPr>
        <w:t>). Este prémio anual</w:t>
      </w:r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 foi estabelecido em 1999 e reconhece a excelência do trabalho de um biólogo celular no </w:t>
      </w:r>
      <w:r w:rsidR="00270EAF" w:rsidRPr="00E80DFD">
        <w:rPr>
          <w:rFonts w:eastAsia="Times New Roman" w:cs="Arial"/>
          <w:color w:val="222222"/>
          <w:sz w:val="24"/>
          <w:szCs w:val="24"/>
          <w:lang w:eastAsia="pt-PT"/>
        </w:rPr>
        <w:t>início</w:t>
      </w:r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 ou meio da sua carreira científica e tem como objetivo encorajar outros jovens e cientistas a prosseguir os estudos nesta área. A bolsa poderá ser utilizada a partir de Janeiro de 2013.</w:t>
      </w:r>
    </w:p>
    <w:p w:rsidR="00E80DFD" w:rsidRPr="00E80DFD" w:rsidRDefault="00E80DFD" w:rsidP="00E80DFD">
      <w:pPr>
        <w:shd w:val="clear" w:color="auto" w:fill="FFFFFF"/>
        <w:spacing w:after="0" w:line="240" w:lineRule="auto"/>
        <w:ind w:right="140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Keith R. </w:t>
      </w:r>
      <w:proofErr w:type="spellStart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Porter</w:t>
      </w:r>
      <w:proofErr w:type="spellEnd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, que morreu em 1997, é considerado por muitos o pai da biologia celular. Foi o primeiro cientista a observar células inteiras no microscópio </w:t>
      </w:r>
      <w:proofErr w:type="spellStart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electrónico</w:t>
      </w:r>
      <w:proofErr w:type="spellEnd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 e um dos primeiros a estudar a estrutura dos flagelos, entre muitas outras estruturas das células. Os antigos estudantes deste cientista criaram um fundo em 1981, “</w:t>
      </w:r>
      <w:proofErr w:type="spellStart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The</w:t>
      </w:r>
      <w:proofErr w:type="spellEnd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 Keith R. </w:t>
      </w:r>
      <w:proofErr w:type="spellStart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Porter</w:t>
      </w:r>
      <w:proofErr w:type="spellEnd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Endowment</w:t>
      </w:r>
      <w:proofErr w:type="spellEnd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 for </w:t>
      </w:r>
      <w:proofErr w:type="spellStart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Cell</w:t>
      </w:r>
      <w:proofErr w:type="spellEnd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 </w:t>
      </w:r>
      <w:proofErr w:type="spellStart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Biology</w:t>
      </w:r>
      <w:proofErr w:type="spellEnd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”, em reconhecimento pelo seu enorme contributo no campo da biologia celular e educação de jovens cientistas. Este fundo promove a comunicação e educação de jovens cientistas neste campo. O prémio de 5000 dólares permite organizar atividades educativas ligadas à biologia celular, como seja o apoio à realização de uma conferência.</w:t>
      </w:r>
    </w:p>
    <w:p w:rsidR="00E80DFD" w:rsidRPr="00E80DFD" w:rsidRDefault="00E80DFD" w:rsidP="00E80DFD">
      <w:pPr>
        <w:shd w:val="clear" w:color="auto" w:fill="FFFFFF"/>
        <w:spacing w:after="0" w:line="240" w:lineRule="auto"/>
        <w:ind w:right="140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O trabalho do laboratório de Mónica Bettencourt-Dias foca-se no estudo da multiplicação e movimento das células. As células têm um esqueleto que organiza a localização dos seus diversos componentes, tal como as estradas de uma cidade. O seu laboratório tem elucidado como é que o esqueleto das células é formado, em particular o papel dos centrossomas, estruturas muito pequenas nas células. Os centrossomas ajudam as células a multiplicarem-se e a formarem os seus flagelos, permitindo-lhes moverem-se. Alterações nestas estruturas estão associadas com doenças como o cancro e infertilidade. A comunicação de ciência é também uma área a que Mónica Bettencourt Dias dá mais atenção, tendo feito um curso de dois anos em Inglaterra e organizado várias atividades para promover esse campo.</w:t>
      </w:r>
    </w:p>
    <w:p w:rsidR="00E80DFD" w:rsidRPr="00E80DFD" w:rsidRDefault="00E80DFD" w:rsidP="00E80DFD">
      <w:pPr>
        <w:shd w:val="clear" w:color="auto" w:fill="FFFFFF"/>
        <w:spacing w:after="0" w:line="240" w:lineRule="auto"/>
        <w:ind w:right="140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Mónica Bettencourt-Dias diz que "é uma honra receber um prémio com o nome do cientista que descobriu as estruturas com que trabalhamos". "Não sendo Norte Americana, nem trabalhando lá, é uma honra ter o nosso trabalho reconhecido pela comunidade científica Americana. É um prémio muito prestigiante, tendo sido antes atribuído a cientistas que admiro imenso. Recebi um </w:t>
      </w:r>
      <w:proofErr w:type="gramStart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email</w:t>
      </w:r>
      <w:proofErr w:type="gramEnd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 a dizer que tinha havido uma nomeação e votação, não fazia a mínima ideia- foi uma surpresa muito simpática antes do Natal".</w:t>
      </w:r>
    </w:p>
    <w:p w:rsidR="00E80DFD" w:rsidRPr="00E80DFD" w:rsidRDefault="00E80DFD" w:rsidP="00E80DFD">
      <w:pPr>
        <w:shd w:val="clear" w:color="auto" w:fill="FFFFFF"/>
        <w:spacing w:after="0" w:line="240" w:lineRule="auto"/>
        <w:ind w:right="140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A bolsa Keith R. </w:t>
      </w:r>
      <w:proofErr w:type="spellStart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Porter</w:t>
      </w:r>
      <w:proofErr w:type="spellEnd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 foi anunciada na conferência anual da ASCB (15-19 Dezembro 2012), em São Francisco, a maior e mais importante conferência mundial na área da biologia das células.</w:t>
      </w:r>
    </w:p>
    <w:p w:rsidR="00E80DFD" w:rsidRPr="00E80DFD" w:rsidRDefault="00E80DFD" w:rsidP="00E80DFD">
      <w:pPr>
        <w:shd w:val="clear" w:color="auto" w:fill="FFFFFF"/>
        <w:spacing w:after="0" w:line="240" w:lineRule="auto"/>
        <w:ind w:right="140"/>
        <w:jc w:val="both"/>
        <w:rPr>
          <w:rFonts w:eastAsia="Times New Roman" w:cs="Arial"/>
          <w:color w:val="222222"/>
          <w:sz w:val="24"/>
          <w:szCs w:val="24"/>
          <w:lang w:eastAsia="pt-PT"/>
        </w:rPr>
      </w:pPr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O trabalho do laboratório de Mónica Bettencourt-Dias já foi reconhecido com vários prémios europeus para jovens cientistas, como da </w:t>
      </w:r>
      <w:proofErr w:type="spellStart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Eppendorf</w:t>
      </w:r>
      <w:proofErr w:type="spellEnd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 (2007), da Organização Europeia de Biologia Molecular (EMBO- 2009) e do Conselho Europeu de Investigação (ERC-2010), tendo já este ano vencido, pela segunda vez, o Prémio </w:t>
      </w:r>
      <w:proofErr w:type="spellStart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Pfizer</w:t>
      </w:r>
      <w:proofErr w:type="spellEnd"/>
      <w:r w:rsidRPr="00E80DFD">
        <w:rPr>
          <w:rFonts w:eastAsia="Times New Roman" w:cs="Arial"/>
          <w:color w:val="222222"/>
          <w:sz w:val="24"/>
          <w:szCs w:val="24"/>
          <w:lang w:eastAsia="pt-PT"/>
        </w:rPr>
        <w:t xml:space="preserve"> de Investigação Básica. Esta é a primeira vez que recebe um prémio Norte-Americano.</w:t>
      </w:r>
    </w:p>
    <w:p w:rsidR="008E2BB2" w:rsidRDefault="00270EAF"/>
    <w:p w:rsidR="00E80DFD" w:rsidRDefault="00E80DFD">
      <w:r>
        <w:t>Inês Domingues</w:t>
      </w:r>
    </w:p>
    <w:p w:rsidR="00E80DFD" w:rsidRPr="00E80DFD" w:rsidRDefault="00E80DFD">
      <w:r>
        <w:rPr>
          <w:rFonts w:cs="Arial"/>
          <w:shd w:val="clear" w:color="auto" w:fill="FFFFFF"/>
        </w:rPr>
        <w:lastRenderedPageBreak/>
        <w:t>(</w:t>
      </w:r>
      <w:r w:rsidRPr="00E80DFD">
        <w:rPr>
          <w:rFonts w:cs="Arial"/>
          <w:shd w:val="clear" w:color="auto" w:fill="FFFFFF"/>
        </w:rPr>
        <w:t>Comunicação de Ciência e Relações Externas/ Instituto Gulbenkian de Ciência</w:t>
      </w:r>
      <w:r>
        <w:rPr>
          <w:rFonts w:cs="Arial"/>
          <w:shd w:val="clear" w:color="auto" w:fill="FFFFFF"/>
        </w:rPr>
        <w:t>)</w:t>
      </w:r>
    </w:p>
    <w:p w:rsidR="00E80DFD" w:rsidRDefault="00E80DFD">
      <w:r>
        <w:t>Ciência na Imprensa Regional – Ciência Viva</w:t>
      </w:r>
    </w:p>
    <w:p w:rsidR="00E80DFD" w:rsidRDefault="00E80DFD"/>
    <w:p w:rsidR="00E80DFD" w:rsidRDefault="00E80DFD">
      <w:pPr>
        <w:rPr>
          <w:rFonts w:eastAsia="Times New Roman" w:cs="Arial"/>
          <w:color w:val="222222"/>
          <w:sz w:val="24"/>
          <w:szCs w:val="24"/>
          <w:lang w:eastAsia="pt-PT"/>
        </w:rPr>
      </w:pPr>
      <w:r>
        <w:rPr>
          <w:rFonts w:eastAsia="Times New Roman" w:cs="Arial"/>
          <w:color w:val="222222"/>
          <w:sz w:val="24"/>
          <w:szCs w:val="24"/>
          <w:lang w:eastAsia="pt-PT"/>
        </w:rPr>
        <w:t>*</w:t>
      </w:r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(</w:t>
      </w:r>
      <w:hyperlink r:id="rId5" w:tgtFrame="_blank" w:history="1">
        <w:r w:rsidRPr="00E80DFD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>http://www.igc.pt/pages/groups.php/A=81___collection=groups___group=1</w:t>
        </w:r>
      </w:hyperlink>
      <w:r w:rsidRPr="00E80DFD">
        <w:rPr>
          <w:rFonts w:eastAsia="Times New Roman" w:cs="Arial"/>
          <w:color w:val="222222"/>
          <w:sz w:val="24"/>
          <w:szCs w:val="24"/>
          <w:lang w:eastAsia="pt-PT"/>
        </w:rPr>
        <w:t>; </w:t>
      </w:r>
      <w:hyperlink r:id="rId6" w:tgtFrame="_blank" w:history="1">
        <w:r w:rsidRPr="00E80DFD">
          <w:rPr>
            <w:rFonts w:eastAsia="Times New Roman" w:cs="Arial"/>
            <w:color w:val="1155CC"/>
            <w:sz w:val="24"/>
            <w:szCs w:val="24"/>
            <w:u w:val="single"/>
            <w:lang w:eastAsia="pt-PT"/>
          </w:rPr>
          <w:t>http://sites.igc.gulbenkian.pt/ccr/)</w:t>
        </w:r>
      </w:hyperlink>
    </w:p>
    <w:p w:rsidR="00E80DFD" w:rsidRDefault="00E80DFD">
      <w:pPr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E80DFD" w:rsidRDefault="00E80DFD">
      <w:pPr>
        <w:rPr>
          <w:rFonts w:eastAsia="Times New Roman" w:cs="Arial"/>
          <w:color w:val="222222"/>
          <w:sz w:val="24"/>
          <w:szCs w:val="24"/>
          <w:lang w:eastAsia="pt-PT"/>
        </w:rPr>
      </w:pPr>
    </w:p>
    <w:p w:rsidR="00E80DFD" w:rsidRDefault="00E80DFD">
      <w:pPr>
        <w:rPr>
          <w:rFonts w:ascii="Arial" w:hAnsi="Arial" w:cs="Arial"/>
          <w:b/>
          <w:bCs/>
          <w:color w:val="222222"/>
          <w:sz w:val="13"/>
          <w:szCs w:val="13"/>
          <w:shd w:val="clear" w:color="auto" w:fill="FFFFFF"/>
        </w:rPr>
      </w:pPr>
      <w:r>
        <w:rPr>
          <w:rFonts w:eastAsia="Times New Roman" w:cs="Arial"/>
          <w:color w:val="222222"/>
          <w:sz w:val="24"/>
          <w:szCs w:val="24"/>
          <w:lang w:eastAsia="pt-PT"/>
        </w:rPr>
        <w:t xml:space="preserve">Sobre </w:t>
      </w:r>
      <w:r w:rsidRPr="00E80DFD">
        <w:rPr>
          <w:rFonts w:cs="Arial"/>
          <w:b/>
          <w:bCs/>
          <w:color w:val="222222"/>
          <w:shd w:val="clear" w:color="auto" w:fill="FFFFFF"/>
        </w:rPr>
        <w:t>Mónica Bettencourt-Dias</w:t>
      </w:r>
    </w:p>
    <w:p w:rsidR="00E80DFD" w:rsidRPr="00E80DFD" w:rsidRDefault="00E80DFD">
      <w:r w:rsidRPr="00E80DFD">
        <w:rPr>
          <w:rFonts w:cs="Arial"/>
          <w:b/>
          <w:bCs/>
          <w:color w:val="222222"/>
          <w:sz w:val="13"/>
          <w:szCs w:val="13"/>
          <w:shd w:val="clear" w:color="auto" w:fill="FFFFFF"/>
        </w:rPr>
        <w:t>Mónica Bettencourt-Dias</w:t>
      </w:r>
      <w:r w:rsidRPr="00E80DFD">
        <w:rPr>
          <w:rFonts w:cs="Arial"/>
          <w:color w:val="222222"/>
          <w:sz w:val="13"/>
          <w:szCs w:val="13"/>
          <w:shd w:val="clear" w:color="auto" w:fill="FFFFFF"/>
        </w:rPr>
        <w:t xml:space="preserve">, 39 anos, lidera o laboratório de Regulação do Ciclo Celular do Instituto Gulbenkian de Ciência (IGC), em Oeiras. Mónica Bettencourt-Dias licenciou-se em Bioquímica pela Universidade de Lisboa e fez o doutoramento em regeneração cardíaca na </w:t>
      </w:r>
      <w:proofErr w:type="spellStart"/>
      <w:r w:rsidRPr="00E80DFD">
        <w:rPr>
          <w:rFonts w:cs="Arial"/>
          <w:color w:val="222222"/>
          <w:sz w:val="13"/>
          <w:szCs w:val="13"/>
          <w:shd w:val="clear" w:color="auto" w:fill="FFFFFF"/>
        </w:rPr>
        <w:t>University</w:t>
      </w:r>
      <w:proofErr w:type="spellEnd"/>
      <w:r w:rsidRPr="00E80DFD">
        <w:rPr>
          <w:rFonts w:cs="Arial"/>
          <w:color w:val="222222"/>
          <w:sz w:val="13"/>
          <w:szCs w:val="13"/>
          <w:shd w:val="clear" w:color="auto" w:fill="FFFFFF"/>
        </w:rPr>
        <w:t xml:space="preserve"> </w:t>
      </w:r>
      <w:proofErr w:type="spellStart"/>
      <w:r w:rsidRPr="00E80DFD">
        <w:rPr>
          <w:rFonts w:cs="Arial"/>
          <w:color w:val="222222"/>
          <w:sz w:val="13"/>
          <w:szCs w:val="13"/>
          <w:shd w:val="clear" w:color="auto" w:fill="FFFFFF"/>
        </w:rPr>
        <w:t>College</w:t>
      </w:r>
      <w:proofErr w:type="spellEnd"/>
      <w:r w:rsidRPr="00E80DFD">
        <w:rPr>
          <w:rFonts w:cs="Arial"/>
          <w:color w:val="222222"/>
          <w:sz w:val="13"/>
          <w:szCs w:val="13"/>
          <w:shd w:val="clear" w:color="auto" w:fill="FFFFFF"/>
        </w:rPr>
        <w:t xml:space="preserve"> London, Reino Unido. Após o doutoramento, fez investigação na Cambridge </w:t>
      </w:r>
      <w:proofErr w:type="spellStart"/>
      <w:r w:rsidRPr="00E80DFD">
        <w:rPr>
          <w:rFonts w:cs="Arial"/>
          <w:color w:val="222222"/>
          <w:sz w:val="13"/>
          <w:szCs w:val="13"/>
          <w:shd w:val="clear" w:color="auto" w:fill="FFFFFF"/>
        </w:rPr>
        <w:t>University</w:t>
      </w:r>
      <w:proofErr w:type="spellEnd"/>
      <w:r w:rsidRPr="00E80DFD">
        <w:rPr>
          <w:rFonts w:cs="Arial"/>
          <w:color w:val="222222"/>
          <w:sz w:val="13"/>
          <w:szCs w:val="13"/>
          <w:shd w:val="clear" w:color="auto" w:fill="FFFFFF"/>
        </w:rPr>
        <w:t xml:space="preserve">, Reino Unido, mudando-se em 2006 para o IGC para criar o seu próprio grupo de investigação. Mónica Bettencourt-Dias tem uma pós-graduação em Comunicação de Ciência pelo </w:t>
      </w:r>
      <w:proofErr w:type="spellStart"/>
      <w:r w:rsidRPr="00E80DFD">
        <w:rPr>
          <w:rFonts w:cs="Arial"/>
          <w:color w:val="222222"/>
          <w:sz w:val="13"/>
          <w:szCs w:val="13"/>
          <w:shd w:val="clear" w:color="auto" w:fill="FFFFFF"/>
        </w:rPr>
        <w:t>Birkbeck</w:t>
      </w:r>
      <w:proofErr w:type="spellEnd"/>
      <w:r w:rsidRPr="00E80DFD">
        <w:rPr>
          <w:rFonts w:cs="Arial"/>
          <w:color w:val="222222"/>
          <w:sz w:val="13"/>
          <w:szCs w:val="13"/>
          <w:shd w:val="clear" w:color="auto" w:fill="FFFFFF"/>
        </w:rPr>
        <w:t xml:space="preserve"> </w:t>
      </w:r>
      <w:proofErr w:type="spellStart"/>
      <w:r w:rsidRPr="00E80DFD">
        <w:rPr>
          <w:rFonts w:cs="Arial"/>
          <w:color w:val="222222"/>
          <w:sz w:val="13"/>
          <w:szCs w:val="13"/>
          <w:shd w:val="clear" w:color="auto" w:fill="FFFFFF"/>
        </w:rPr>
        <w:t>College</w:t>
      </w:r>
      <w:proofErr w:type="spellEnd"/>
      <w:r w:rsidRPr="00E80DFD">
        <w:rPr>
          <w:rFonts w:cs="Arial"/>
          <w:color w:val="222222"/>
          <w:sz w:val="13"/>
          <w:szCs w:val="13"/>
          <w:shd w:val="clear" w:color="auto" w:fill="FFFFFF"/>
        </w:rPr>
        <w:t xml:space="preserve">, Reino Unido. O grupo de investigação que lidera tem publicado artigos relevantes na área da divisão e mobilidade celular tendo sido premiado com bolsas de instalação da Câmara Municipal de Oeiras e da EMBO (Organização Europeia para a Biologia Molecular), </w:t>
      </w:r>
      <w:proofErr w:type="spellStart"/>
      <w:r w:rsidRPr="00E80DFD">
        <w:rPr>
          <w:rFonts w:cs="Arial"/>
          <w:color w:val="222222"/>
          <w:sz w:val="13"/>
          <w:szCs w:val="13"/>
          <w:shd w:val="clear" w:color="auto" w:fill="FFFFFF"/>
        </w:rPr>
        <w:t>Crioestaminal</w:t>
      </w:r>
      <w:proofErr w:type="spellEnd"/>
      <w:r w:rsidRPr="00E80DFD">
        <w:rPr>
          <w:rFonts w:cs="Arial"/>
          <w:color w:val="222222"/>
          <w:sz w:val="13"/>
          <w:szCs w:val="13"/>
          <w:shd w:val="clear" w:color="auto" w:fill="FFFFFF"/>
        </w:rPr>
        <w:t xml:space="preserve">, </w:t>
      </w:r>
      <w:proofErr w:type="spellStart"/>
      <w:r w:rsidRPr="00E80DFD">
        <w:rPr>
          <w:rFonts w:cs="Arial"/>
          <w:color w:val="222222"/>
          <w:sz w:val="13"/>
          <w:szCs w:val="13"/>
          <w:shd w:val="clear" w:color="auto" w:fill="FFFFFF"/>
        </w:rPr>
        <w:t>Eppendorf</w:t>
      </w:r>
      <w:proofErr w:type="spellEnd"/>
      <w:r w:rsidRPr="00E80DFD">
        <w:rPr>
          <w:rFonts w:cs="Arial"/>
          <w:color w:val="222222"/>
          <w:sz w:val="13"/>
          <w:szCs w:val="13"/>
          <w:shd w:val="clear" w:color="auto" w:fill="FFFFFF"/>
        </w:rPr>
        <w:t xml:space="preserve"> e EMBO </w:t>
      </w:r>
      <w:proofErr w:type="spellStart"/>
      <w:r w:rsidRPr="00E80DFD">
        <w:rPr>
          <w:rFonts w:cs="Arial"/>
          <w:color w:val="222222"/>
          <w:sz w:val="13"/>
          <w:szCs w:val="13"/>
          <w:shd w:val="clear" w:color="auto" w:fill="FFFFFF"/>
        </w:rPr>
        <w:t>Young</w:t>
      </w:r>
      <w:proofErr w:type="spellEnd"/>
      <w:r w:rsidRPr="00E80DFD">
        <w:rPr>
          <w:rFonts w:cs="Arial"/>
          <w:color w:val="222222"/>
          <w:sz w:val="13"/>
          <w:szCs w:val="13"/>
          <w:shd w:val="clear" w:color="auto" w:fill="FFFFFF"/>
        </w:rPr>
        <w:t xml:space="preserve"> </w:t>
      </w:r>
      <w:proofErr w:type="spellStart"/>
      <w:r w:rsidRPr="00E80DFD">
        <w:rPr>
          <w:rFonts w:cs="Arial"/>
          <w:color w:val="222222"/>
          <w:sz w:val="13"/>
          <w:szCs w:val="13"/>
          <w:shd w:val="clear" w:color="auto" w:fill="FFFFFF"/>
        </w:rPr>
        <w:t>Investigator</w:t>
      </w:r>
      <w:proofErr w:type="spellEnd"/>
      <w:r w:rsidRPr="00E80DFD">
        <w:rPr>
          <w:rFonts w:cs="Arial"/>
          <w:color w:val="222222"/>
          <w:sz w:val="13"/>
          <w:szCs w:val="13"/>
          <w:shd w:val="clear" w:color="auto" w:fill="FFFFFF"/>
        </w:rPr>
        <w:t xml:space="preserve"> </w:t>
      </w:r>
      <w:proofErr w:type="spellStart"/>
      <w:r w:rsidRPr="00E80DFD">
        <w:rPr>
          <w:rFonts w:cs="Arial"/>
          <w:color w:val="222222"/>
          <w:sz w:val="13"/>
          <w:szCs w:val="13"/>
          <w:shd w:val="clear" w:color="auto" w:fill="FFFFFF"/>
        </w:rPr>
        <w:t>Award</w:t>
      </w:r>
      <w:proofErr w:type="spellEnd"/>
      <w:r w:rsidRPr="00E80DFD">
        <w:rPr>
          <w:rFonts w:cs="Arial"/>
          <w:color w:val="222222"/>
          <w:sz w:val="13"/>
          <w:szCs w:val="13"/>
          <w:shd w:val="clear" w:color="auto" w:fill="FFFFFF"/>
        </w:rPr>
        <w:t xml:space="preserve">, uma bolsa do Programa Harvard-Portugal da Fundação para a Ciência e Tecnologia e outra do Conselho Europeu de Investigação. Por duas vezes venceu o prémio </w:t>
      </w:r>
      <w:proofErr w:type="spellStart"/>
      <w:r w:rsidRPr="00E80DFD">
        <w:rPr>
          <w:rFonts w:cs="Arial"/>
          <w:color w:val="222222"/>
          <w:sz w:val="13"/>
          <w:szCs w:val="13"/>
          <w:shd w:val="clear" w:color="auto" w:fill="FFFFFF"/>
        </w:rPr>
        <w:t>Pfizer</w:t>
      </w:r>
      <w:proofErr w:type="spellEnd"/>
      <w:r w:rsidRPr="00E80DFD">
        <w:rPr>
          <w:rFonts w:cs="Arial"/>
          <w:color w:val="222222"/>
          <w:sz w:val="13"/>
          <w:szCs w:val="13"/>
          <w:shd w:val="clear" w:color="auto" w:fill="FFFFFF"/>
        </w:rPr>
        <w:t xml:space="preserve"> em Investigação Básica. </w:t>
      </w:r>
    </w:p>
    <w:sectPr w:rsidR="00E80DFD" w:rsidRPr="00E80DFD" w:rsidSect="00C26D1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E80DFD"/>
    <w:rsid w:val="0024012E"/>
    <w:rsid w:val="00270EAF"/>
    <w:rsid w:val="00C11DF3"/>
    <w:rsid w:val="00C26D15"/>
    <w:rsid w:val="00E80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6D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80DF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E80D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8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tes.igc.gulbenkian.pt/ccr/)" TargetMode="External"/><Relationship Id="rId5" Type="http://schemas.openxmlformats.org/officeDocument/2006/relationships/hyperlink" Target="http://www.igc.pt/pages/groups.php/A=81___collection=groups___group=1" TargetMode="External"/><Relationship Id="rId4" Type="http://schemas.openxmlformats.org/officeDocument/2006/relationships/hyperlink" Target="http://www.ascb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713</Words>
  <Characters>4029</Characters>
  <Application>Microsoft Office Word</Application>
  <DocSecurity>0</DocSecurity>
  <Lines>68</Lines>
  <Paragraphs>15</Paragraphs>
  <ScaleCrop>false</ScaleCrop>
  <Company/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3</cp:revision>
  <dcterms:created xsi:type="dcterms:W3CDTF">2012-12-28T12:07:00Z</dcterms:created>
  <dcterms:modified xsi:type="dcterms:W3CDTF">2012-12-28T12:21:00Z</dcterms:modified>
</cp:coreProperties>
</file>