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O que são </w:t>
      </w: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botnets</w:t>
      </w: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?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sz w:val="22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sz w:val="22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As botnets são redes de computadores ou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smartphones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infetadas por um determinado tipo de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malware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(também conhecido como “vírus informático”), controladas por um indivíduo ou grupo, e que servem vários propósitos ilegais tais como: roubo de identidade, roubo de informações confidenciais, extorsão, fraudes bancárias e ataques ou tentativas de infeção de outros sistemas online. Uma vez infectado, o seu dispositivo quase de certeza servirá de plataforma para atacar terceiros, protegendo a identidade do atacante. 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As formas de infeção são variadas e vão desde o envio de mensagens de correio electrónico, a serviços de conversação instantânea ou de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posts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em redes sociais com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malware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, páginas na internet que quando visitadas infectam automaticamente o utilizador, credenciais fracas de acesso a serviços online, até à distribuição dissimulada em aplicações que parecem legítimas (ex: um software de antivírus ou uma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app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que aumenta a longevidade da bateria do dispositivo, mas que na verdade apenas infecta o sistema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com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malware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). 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De forma a precaver-se contra as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botnets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deve adotar um comportamento mais crítico online, desconfiando de mensagens de correio electrónico, mensagens instantâneas ou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posts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suspeitos - mesmo que estas tenham sido enviadas por pessoas que conhece; utilizar e manter sempre atualizado o software antivírus no seu sistema; utilizar credenciais de acesso robustas e instalar apenas software com alguma credibilidade (em caso de dúvida numa breve pesquisa na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internet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encontrará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feedback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de outros utilizadores) e distribuído através dos canais fidedignos como as lojas oficiais dos fabricantes (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GooglePlay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,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AppStore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, etc...), sendo que, mesmo nestes casos, deve sempre validar a credibilidade da mesma (ex: através dos mecanismos de reputação e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feedback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dos utilizadores).  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Alguns dos sintomas que podem indiciar uma infecção no seu sistema são o aparecimento de aplicações desconhecidas, a alteração de configurações no sistema ou browser (página inicial, motor de pesquisa), mensagens de erro ao atualizar o seu sistema ou antivírus, desativação de mecanismos de segurança (firewall, antivírus), lentidão de funcionamento ou surgimento de chamadas telefónicas ou mensagens estranhas. 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Caso suspeite que o seu sistema está infectado, não o utilize, desligue-o da Internet e leve-o a um especialista.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sz w:val="22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200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Imagem de Lorenzo Rossi</w:t>
      </w:r>
    </w:p>
    <w:p w:rsidP="00000000" w:rsidRPr="00000000" w:rsidR="00000000" w:rsidDel="00000000" w:rsidRDefault="00000000">
      <w:pPr>
        <w:spacing w:lineRule="auto" w:after="200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(Existem ficheiros de imagem de mais alta resolução disponíveis para download)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sectPr>
      <w:pgSz w:w="11900" w:h="16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Verdan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8-O que são Botnets - 2161 c.docx</dc:title>
</cp:coreProperties>
</file>