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Verdana" w:hAnsi="Verdana" w:eastAsia="Verdana" w:ascii="Verdana"/>
          <w:b w:val="1"/>
          <w:rtl w:val="0"/>
        </w:rPr>
        <w:t xml:space="preserve">26 - Estratégia europeia de Cibersegurança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Autor: </w:t>
      </w:r>
      <w:r w:rsidRPr="00000000" w:rsidR="00000000" w:rsidDel="00000000">
        <w:rPr>
          <w:rFonts w:cs="Verdana" w:hAnsi="Verdana" w:eastAsia="Verdana" w:ascii="Verdana"/>
          <w:vertAlign w:val="superscript"/>
          <w:rtl w:val="0"/>
        </w:rPr>
        <w:t xml:space="preserve"> </w:t>
      </w:r>
      <w:r w:rsidRPr="00000000" w:rsidR="00000000" w:rsidDel="00000000">
        <w:rPr>
          <w:rFonts w:cs="Verdana" w:hAnsi="Verdana" w:eastAsia="Verdana" w:ascii="Verdana"/>
          <w:highlight w:val="white"/>
          <w:rtl w:val="0"/>
        </w:rPr>
        <w:t xml:space="preserve">C</w:t>
      </w:r>
      <w:r w:rsidRPr="00000000" w:rsidR="00000000" w:rsidDel="00000000">
        <w:rPr>
          <w:rFonts w:cs="Verdana" w:hAnsi="Verdana" w:eastAsia="Verdana" w:ascii="Verdana"/>
          <w:color w:val="494949"/>
          <w:highlight w:val="white"/>
          <w:rtl w:val="0"/>
        </w:rPr>
        <w:t xml:space="preserve">ERT.PT- Serviço de Resposta a Incidentes de Segurança Informática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Em fevereiro de 2013, a Comissão Europeia, em colaboração com a Alta Representante da União para os Assuntos Estrangeiros e Política de Segurança, publicou um documento de estratégia em matéria de cibersegurança e uma proposta de diretiva sobre a segurança das redes e da informação.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Com o título “Um ciberespaço aberto, seguro e protegido”, o </w:t>
      </w:r>
      <w:r w:rsidRPr="00000000" w:rsidR="00000000" w:rsidDel="00000000">
        <w:rPr>
          <w:rFonts w:cs="Verdana" w:hAnsi="Verdana" w:eastAsia="Verdana" w:ascii="Verdana"/>
          <w:highlight w:val="white"/>
          <w:rtl w:val="0"/>
        </w:rPr>
        <w:t xml:space="preserve">Plano de Cibersegurança da UE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 expõe a visão da União Europeia sobre a melhor forma de prevenir e defender as perturbações e ataques no ciberespaço europeu. O documento define medidas que visam o aumento da resiliência dos sistemas informáticos, o recuo da cibercriminalidade e o reforço da política internacional da EU em matéria de cibersegurança e ciberdefesa.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Esta estratégia assenta sobre cinco pilares: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765" w:hanging="359"/>
        <w:contextualSpacing w:val="1"/>
        <w:rPr>
          <w:rFonts w:cs="Verdana" w:hAnsi="Verdana" w:eastAsia="Verdana" w:ascii="Verdana"/>
        </w:rPr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Desenvolver a política e as capacidades no domínio da ciberdefesa no quadro da Política Comum de Segurança e Defesa (PCSD)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765" w:hanging="359"/>
        <w:contextualSpacing w:val="1"/>
        <w:rPr>
          <w:rFonts w:cs="Verdana" w:hAnsi="Verdana" w:eastAsia="Verdana" w:ascii="Verdana"/>
        </w:rPr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Reforçar meios de prevenção e oposição a ataques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765" w:hanging="359"/>
        <w:contextualSpacing w:val="1"/>
        <w:rPr>
          <w:rFonts w:cs="Verdana" w:hAnsi="Verdana" w:eastAsia="Verdana" w:ascii="Verdana"/>
        </w:rPr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Desenvolver recursos industriais e tecnológicos em matéria de cibersegurança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765" w:hanging="359"/>
        <w:contextualSpacing w:val="1"/>
        <w:rPr>
          <w:rFonts w:cs="Verdana" w:hAnsi="Verdana" w:eastAsia="Verdana" w:ascii="Verdana"/>
        </w:rPr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Reduzir drasticamente a cibercriminalidade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200" w:line="240" w:before="0"/>
        <w:ind w:left="765" w:hanging="359"/>
        <w:contextualSpacing w:val="1"/>
        <w:rPr>
          <w:rFonts w:cs="Verdana" w:hAnsi="Verdana" w:eastAsia="Verdana" w:ascii="Verdana"/>
        </w:rPr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Estabelecer uma política internacional coerente no ciberespaço para a União Europeia e promover os seus valores fundamentais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Uma das orientações principais deste plano é obrigar os estados-membros a designar uma autoridade nacional competente para a cibersegurança, com recursos financeiros e operacionais e capacidade de gestão no tratamento de incidentes de segurança informática, a qual serviria de ponto de contato no tratamento de incidentes transfronteiriços.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Outra medida preconizada é a criação de mecanismos seguros que facilitem uma maior cooperação entre estados-membros na difusão dos alertas e respostas a incidentes informáticos e permitam a coordenação de intervenções conjuntas.</w:t>
      </w:r>
    </w:p>
    <w:p w:rsidP="00000000" w:rsidRPr="00000000" w:rsidR="00000000" w:rsidDel="00000000" w:rsidRDefault="00000000">
      <w:pPr>
        <w:spacing w:lineRule="auto" w:line="240"/>
        <w:contextualSpacing w:val="0"/>
      </w:pPr>
      <w:bookmarkStart w:id="0" w:colFirst="0" w:name="h.gjdgxs" w:colLast="0"/>
      <w:bookmarkEnd w:id="0"/>
      <w:r w:rsidRPr="00000000" w:rsidR="00000000" w:rsidDel="00000000">
        <w:rPr>
          <w:rFonts w:cs="Verdana" w:hAnsi="Verdana" w:eastAsia="Verdana" w:ascii="Verdana"/>
          <w:rtl w:val="0"/>
        </w:rPr>
        <w:t xml:space="preserve">O plano estratégico visa igualmente um maior envolvimento na cibersegurança por parte das empresas cujo negócio assenta sobre plataformas web: operadores de infraestruturas críticas tais como energia, saúde, serviços financeiros, transporte e administração pública. Esse envolvimento passaria pela adoção de medidas que impliquem a obrigação de notificação de incidentes críticos bem como a implementação de boas práticas em matéria de gestão de risco.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Pode consultar o </w:t>
      </w:r>
      <w:r w:rsidRPr="00000000" w:rsidR="00000000" w:rsidDel="00000000">
        <w:rPr>
          <w:rFonts w:cs="Verdana" w:hAnsi="Verdana" w:eastAsia="Verdana" w:ascii="Verdana"/>
          <w:highlight w:val="white"/>
          <w:rtl w:val="0"/>
        </w:rPr>
        <w:t xml:space="preserve">Plano de Cibersegurança da UE aqui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: </w:t>
      </w:r>
      <w:hyperlink r:id="rId5">
        <w:r w:rsidRPr="00000000" w:rsidR="00000000" w:rsidDel="00000000">
          <w:rPr>
            <w:rFonts w:cs="Verdana" w:hAnsi="Verdana" w:eastAsia="Verdana" w:ascii="Verdana"/>
            <w:color w:val="1155cc"/>
            <w:u w:val="single"/>
            <w:rtl w:val="0"/>
          </w:rPr>
          <w:t xml:space="preserve">http://ec.europa.eu/information_society/newsroom/cf/dae/document.cfm?doc_id=1667</w:t>
        </w:r>
      </w:hyperlink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---------------------------------------------------------------------------</w:t>
      </w:r>
    </w:p>
    <w:p w:rsidP="00000000" w:rsidRPr="00000000" w:rsidR="00000000" w:rsidDel="00000000" w:rsidRDefault="00000000">
      <w:pPr>
        <w:spacing w:lineRule="auto" w:after="0" w:line="240"/>
        <w:ind w:right="147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color w:val="494949"/>
          <w:highlight w:val="white"/>
          <w:rtl w:val="0"/>
        </w:rPr>
        <w:t xml:space="preserve">Mês Europeu da Cibersegurança</w:t>
      </w:r>
    </w:p>
    <w:p w:rsidP="00000000" w:rsidRPr="00000000" w:rsidR="00000000" w:rsidDel="00000000" w:rsidRDefault="00000000">
      <w:pPr>
        <w:spacing w:lineRule="auto" w:after="0" w:line="240"/>
        <w:ind w:right="147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color w:val="494949"/>
          <w:highlight w:val="white"/>
          <w:rtl w:val="0"/>
        </w:rPr>
        <w:t xml:space="preserve">Este artigo é da autoria de especialistas do CERT.PT- Serviço de Resposta a Incidentes de Segurança Informática (www.cert.pt) da FCCN-Fundação de Computação Científica Nacional (www.fccn.pt/pt) e insere-se na campanha "Uma dica por dia" integrada no Mês Europeu da Cibersegurança, que tem lugar em Outubro de 2013.</w:t>
      </w:r>
    </w:p>
    <w:p w:rsidP="00000000" w:rsidRPr="00000000" w:rsidR="00000000" w:rsidDel="00000000" w:rsidRDefault="00000000">
      <w:pPr>
        <w:spacing w:lineRule="auto" w:after="0" w:line="240"/>
        <w:ind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color w:val="494949"/>
          <w:highlight w:val="white"/>
          <w:rtl w:val="0"/>
        </w:rPr>
        <w:t xml:space="preserve">O Mês Europeu da Cibersegurança é uma iniciativa da ENISA - Agência Europeia para a Segurança das Redes e Informação (www.enisa.europa.eu) e o seu objectivo é informar os utilizadores sobre a importância da segurança da informação, bem como demonstrar algumas medidas simples para proteger os seus dados.</w:t>
      </w:r>
    </w:p>
    <w:p w:rsidP="00000000" w:rsidRPr="00000000" w:rsidR="00000000" w:rsidDel="00000000" w:rsidRDefault="00000000">
      <w:pPr>
        <w:spacing w:lineRule="auto" w:after="0" w:line="240"/>
        <w:ind w:right="147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----------------------------------------------------------------------------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rtl w:val="0"/>
        </w:rPr>
        <w:t xml:space="preserve">Nota aos editores da Imprensa regional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Os artigos da autoria dos técnicos do CERT.PT incluídos no </w:t>
      </w:r>
      <w:r w:rsidRPr="00000000" w:rsidR="00000000" w:rsidDel="00000000">
        <w:rPr>
          <w:rFonts w:cs="Verdana" w:hAnsi="Verdana" w:eastAsia="Verdana" w:ascii="Verdana"/>
          <w:color w:val="494949"/>
          <w:highlight w:val="white"/>
          <w:rtl w:val="0"/>
        </w:rPr>
        <w:t xml:space="preserve">Mês Europeu da Cibersegurança, que tem lugar em Outubro de 2013</w:t>
      </w:r>
      <w:r w:rsidRPr="00000000" w:rsidR="00000000" w:rsidDel="00000000">
        <w:rPr>
          <w:rFonts w:cs="Verdana" w:hAnsi="Verdana" w:eastAsia="Verdana" w:ascii="Verdana"/>
          <w:color w:val="494949"/>
          <w:rtl w:val="0"/>
        </w:rPr>
        <w:t xml:space="preserve">, surgem no site da Ciência na Imprensa Regional numerados, de forma a permitir a sua mais fácil identificação. No entanto, eles são absolutamente independentes uns dos outros e podem ser publicados pelos órgãos de comunicação de forma avulsa.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------------------------------------------------------------------------------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Foto de Marina Strizhak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(Existem ficheiros de imagem de mais alta resolução disponíveis para download)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sectPr>
      <w:pgSz w:w="11906" w:h="16838"/>
      <w:pgMar w:left="1701" w:right="1701" w:top="1417" w:bottom="141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Calibri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bullet"/>
      <w:lvlText w:val="●"/>
      <w:lvlJc w:val="left"/>
      <w:pPr>
        <w:ind w:left="765" w:firstLine="405"/>
      </w:pPr>
      <w:rPr>
        <w:rFonts w:cs="Arial" w:hAnsi="Arial" w:eastAsia="Arial" w:ascii="Arial"/>
      </w:rPr>
    </w:lvl>
    <w:lvl w:ilvl="1">
      <w:start w:val="1"/>
      <w:numFmt w:val="bullet"/>
      <w:lvlText w:val="o"/>
      <w:lvlJc w:val="left"/>
      <w:pPr>
        <w:ind w:left="1485" w:firstLine="1125"/>
      </w:pPr>
      <w:rPr>
        <w:rFonts w:cs="Arial" w:hAnsi="Arial" w:eastAsia="Arial" w:ascii="Arial"/>
      </w:rPr>
    </w:lvl>
    <w:lvl w:ilvl="2">
      <w:start w:val="1"/>
      <w:numFmt w:val="bullet"/>
      <w:lvlText w:val="▪"/>
      <w:lvlJc w:val="left"/>
      <w:pPr>
        <w:ind w:left="2205" w:firstLine="1845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2925" w:firstLine="2565"/>
      </w:pPr>
      <w:rPr>
        <w:rFonts w:cs="Arial" w:hAnsi="Arial" w:eastAsia="Arial" w:ascii="Arial"/>
      </w:rPr>
    </w:lvl>
    <w:lvl w:ilvl="4">
      <w:start w:val="1"/>
      <w:numFmt w:val="bullet"/>
      <w:lvlText w:val="o"/>
      <w:lvlJc w:val="left"/>
      <w:pPr>
        <w:ind w:left="3645" w:firstLine="3285"/>
      </w:pPr>
      <w:rPr>
        <w:rFonts w:cs="Arial" w:hAnsi="Arial" w:eastAsia="Arial" w:ascii="Arial"/>
      </w:rPr>
    </w:lvl>
    <w:lvl w:ilvl="5">
      <w:start w:val="1"/>
      <w:numFmt w:val="bullet"/>
      <w:lvlText w:val="▪"/>
      <w:lvlJc w:val="left"/>
      <w:pPr>
        <w:ind w:left="4365" w:firstLine="4005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5085" w:firstLine="4725"/>
      </w:pPr>
      <w:rPr>
        <w:rFonts w:cs="Arial" w:hAnsi="Arial" w:eastAsia="Arial" w:ascii="Arial"/>
      </w:rPr>
    </w:lvl>
    <w:lvl w:ilvl="7">
      <w:start w:val="1"/>
      <w:numFmt w:val="bullet"/>
      <w:lvlText w:val="o"/>
      <w:lvlJc w:val="left"/>
      <w:pPr>
        <w:ind w:left="5805" w:firstLine="5445"/>
      </w:pPr>
      <w:rPr>
        <w:rFonts w:cs="Arial" w:hAnsi="Arial" w:eastAsia="Arial" w:ascii="Arial"/>
      </w:rPr>
    </w:lvl>
    <w:lvl w:ilvl="8">
      <w:start w:val="1"/>
      <w:numFmt w:val="bullet"/>
      <w:lvlText w:val="▪"/>
      <w:lvlJc w:val="left"/>
      <w:pPr>
        <w:ind w:left="6525" w:firstLine="6165"/>
      </w:pPr>
      <w:rPr>
        <w:rFonts w:cs="Arial" w:hAnsi="Arial" w:eastAsia="Arial" w:asci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200" w:line="276" w:before="0"/>
      <w:ind w:left="0" w:firstLine="0" w:right="0"/>
      <w:jc w:val="left"/>
    </w:pPr>
    <w:rPr>
      <w:rFonts w:cs="Calibri" w:hAnsi="Calibri" w:eastAsia="Calibri" w:ascii="Calibri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http://ec.europa.eu/information_society/newsroom/cf/dae/document.cfm?doc_id=1667" Type="http://schemas.openxmlformats.org/officeDocument/2006/relationships/hyperlink" TargetMode="External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26-Estratégia Europeia Ciberseguranca-2315 c OK.docx</dc:title>
</cp:coreProperties>
</file>