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7209C5" w:rsidRDefault="00E571D7">
      <w:pPr>
        <w:rPr>
          <w:sz w:val="28"/>
          <w:szCs w:val="28"/>
        </w:rPr>
      </w:pPr>
      <w:r w:rsidRPr="007209C5">
        <w:rPr>
          <w:sz w:val="28"/>
          <w:szCs w:val="28"/>
        </w:rPr>
        <w:t>Sistema imunitário afeta as bactérias no intestino</w:t>
      </w:r>
    </w:p>
    <w:p w:rsidR="00E571D7" w:rsidRDefault="00E571D7"/>
    <w:p w:rsidR="00E571D7" w:rsidRDefault="00E571D7">
      <w:pPr>
        <w:rPr>
          <w:rFonts w:cs="Arial"/>
          <w:bCs/>
          <w:color w:val="222222"/>
          <w:sz w:val="24"/>
          <w:szCs w:val="24"/>
          <w:shd w:val="clear" w:color="auto" w:fill="FFFFFF"/>
        </w:rPr>
      </w:pPr>
      <w:r w:rsidRPr="00E571D7">
        <w:rPr>
          <w:rFonts w:cs="Arial"/>
          <w:bCs/>
          <w:color w:val="222222"/>
          <w:sz w:val="24"/>
          <w:szCs w:val="24"/>
          <w:shd w:val="clear" w:color="auto" w:fill="FFFFFF"/>
        </w:rPr>
        <w:t xml:space="preserve">Cientistas do </w:t>
      </w:r>
      <w:r w:rsidRPr="00E571D7">
        <w:rPr>
          <w:rFonts w:cs="Arial"/>
          <w:color w:val="222222"/>
          <w:sz w:val="24"/>
          <w:szCs w:val="24"/>
          <w:shd w:val="clear" w:color="auto" w:fill="FFFFFF"/>
        </w:rPr>
        <w:t>Instituto Gulbenkian de Ciência</w:t>
      </w:r>
      <w:r w:rsidRPr="00E571D7">
        <w:rPr>
          <w:rStyle w:val="apple-converted-space"/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E571D7">
        <w:rPr>
          <w:rFonts w:cs="Arial"/>
          <w:bCs/>
          <w:color w:val="222222"/>
          <w:sz w:val="24"/>
          <w:szCs w:val="24"/>
          <w:shd w:val="clear" w:color="auto" w:fill="FFFFFF"/>
        </w:rPr>
        <w:t>descobrem que o sistema imune afeta a evolução de bactérias do intestino.</w:t>
      </w:r>
    </w:p>
    <w:p w:rsidR="00506B27" w:rsidRDefault="00506B27">
      <w:pPr>
        <w:rPr>
          <w:rFonts w:cs="Arial"/>
          <w:bCs/>
          <w:color w:val="222222"/>
          <w:sz w:val="24"/>
          <w:szCs w:val="24"/>
          <w:shd w:val="clear" w:color="auto" w:fill="FFFFFF"/>
        </w:rPr>
      </w:pPr>
    </w:p>
    <w:p w:rsidR="00506B27" w:rsidRPr="00506B27" w:rsidRDefault="00506B27" w:rsidP="00A85A8F">
      <w:pPr>
        <w:shd w:val="clear" w:color="auto" w:fill="FFFFFF"/>
        <w:spacing w:after="0" w:line="240" w:lineRule="auto"/>
        <w:ind w:right="43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A nossa saúde depende fortemente da diversidade de bactérias que habitam o nosso intestino e da forma como o sistema imune tolera essa diversidade ou responde às bactérias patogénicas para prevenir doenças. Num estudo publicado esta semana na revista científica</w:t>
      </w:r>
      <w:r w:rsidR="002B07DE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506B2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Nature</w:t>
      </w:r>
      <w:proofErr w:type="spellEnd"/>
      <w:r w:rsidRPr="00506B2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506B2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Communications</w:t>
      </w:r>
      <w:proofErr w:type="spellEnd"/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, investigadores do Instituto Gulbenkian de Ciência (IGC) descobriram que quando o sistema imune do hospedeiro é comprometido, a composição de bactérias do intestino muda, e o ritmo e a previsibilidade do processo de adaptação</w:t>
      </w:r>
      <w:r w:rsidR="00A85A8F">
        <w:rPr>
          <w:rFonts w:eastAsia="Times New Roman" w:cs="Arial"/>
          <w:color w:val="222222"/>
          <w:sz w:val="24"/>
          <w:szCs w:val="24"/>
          <w:lang w:eastAsia="pt-PT"/>
        </w:rPr>
        <w:t xml:space="preserve"> dessas bactérias são afetados. </w:t>
      </w: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Este estudo sugere que o tratamento de patologias intestinais que resultam de um sistema imunitário deficiente, tais como a doença inflamatória intestinal, pode requerer terapias baseadas em medicina personalizada que tenham em conta a composição individual das bactérias intestinais.</w:t>
      </w:r>
    </w:p>
    <w:p w:rsidR="00506B27" w:rsidRPr="00506B27" w:rsidRDefault="00506B27" w:rsidP="00506B27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 xml:space="preserve">Esta investigação, </w:t>
      </w:r>
      <w:r w:rsidRPr="00A85A8F">
        <w:rPr>
          <w:rFonts w:eastAsia="Times New Roman" w:cs="Arial"/>
          <w:sz w:val="24"/>
          <w:szCs w:val="24"/>
          <w:lang w:eastAsia="pt-PT"/>
        </w:rPr>
        <w:t>liderada por</w:t>
      </w:r>
      <w:r w:rsidR="00A85A8F" w:rsidRPr="00A85A8F">
        <w:rPr>
          <w:rFonts w:eastAsia="Times New Roman" w:cs="Arial"/>
          <w:sz w:val="24"/>
          <w:szCs w:val="24"/>
          <w:lang w:eastAsia="pt-PT"/>
        </w:rPr>
        <w:t xml:space="preserve"> </w:t>
      </w:r>
      <w:r w:rsidRPr="00A85A8F">
        <w:rPr>
          <w:rFonts w:eastAsia="Times New Roman" w:cs="Arial"/>
          <w:sz w:val="24"/>
          <w:szCs w:val="24"/>
          <w:lang w:eastAsia="pt-PT"/>
        </w:rPr>
        <w:t>Isab</w:t>
      </w:r>
      <w:r w:rsidRPr="00A85A8F">
        <w:rPr>
          <w:rFonts w:eastAsia="Times New Roman" w:cs="Arial"/>
          <w:sz w:val="24"/>
          <w:szCs w:val="24"/>
          <w:lang w:eastAsia="pt-PT"/>
        </w:rPr>
        <w:t>e</w:t>
      </w:r>
      <w:r w:rsidRPr="00A85A8F">
        <w:rPr>
          <w:rFonts w:eastAsia="Times New Roman" w:cs="Arial"/>
          <w:sz w:val="24"/>
          <w:szCs w:val="24"/>
          <w:lang w:eastAsia="pt-PT"/>
        </w:rPr>
        <w:t>l Gordo</w:t>
      </w:r>
      <w:r w:rsidR="00A85A8F" w:rsidRPr="00A85A8F">
        <w:rPr>
          <w:rFonts w:eastAsia="Times New Roman" w:cs="Arial"/>
          <w:sz w:val="24"/>
          <w:szCs w:val="24"/>
          <w:lang w:eastAsia="pt-PT"/>
        </w:rPr>
        <w:t xml:space="preserve"> </w:t>
      </w:r>
      <w:r w:rsidRPr="00A85A8F">
        <w:rPr>
          <w:rFonts w:eastAsia="Times New Roman" w:cs="Arial"/>
          <w:sz w:val="24"/>
          <w:szCs w:val="24"/>
          <w:lang w:eastAsia="pt-PT"/>
        </w:rPr>
        <w:t>e</w:t>
      </w:r>
      <w:r w:rsidR="00A85A8F" w:rsidRPr="00A85A8F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A85A8F">
        <w:rPr>
          <w:rFonts w:eastAsia="Times New Roman" w:cs="Arial"/>
          <w:sz w:val="24"/>
          <w:szCs w:val="24"/>
          <w:lang w:eastAsia="pt-PT"/>
        </w:rPr>
        <w:t>Jocelyn</w:t>
      </w:r>
      <w:r w:rsidRPr="00A85A8F">
        <w:rPr>
          <w:rFonts w:eastAsia="Times New Roman" w:cs="Arial"/>
          <w:sz w:val="24"/>
          <w:szCs w:val="24"/>
          <w:lang w:eastAsia="pt-PT"/>
        </w:rPr>
        <w:t>e</w:t>
      </w:r>
      <w:proofErr w:type="spellEnd"/>
      <w:r w:rsidRPr="00A85A8F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A85A8F">
        <w:rPr>
          <w:rFonts w:eastAsia="Times New Roman" w:cs="Arial"/>
          <w:sz w:val="24"/>
          <w:szCs w:val="24"/>
          <w:lang w:eastAsia="pt-PT"/>
        </w:rPr>
        <w:t>Demengeot</w:t>
      </w:r>
      <w:proofErr w:type="spellEnd"/>
      <w:r w:rsidR="00A85A8F" w:rsidRPr="00A85A8F">
        <w:rPr>
          <w:rFonts w:eastAsia="Times New Roman" w:cs="Arial"/>
          <w:sz w:val="24"/>
          <w:szCs w:val="24"/>
          <w:lang w:eastAsia="pt-PT"/>
        </w:rPr>
        <w:t xml:space="preserve">, </w:t>
      </w:r>
      <w:r w:rsidRPr="00A85A8F">
        <w:rPr>
          <w:rFonts w:eastAsia="Times New Roman" w:cs="Arial"/>
          <w:sz w:val="24"/>
          <w:szCs w:val="24"/>
          <w:lang w:eastAsia="pt-PT"/>
        </w:rPr>
        <w:t>é o primeiro</w:t>
      </w: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 xml:space="preserve"> trabalho experimental que confirma a hipótese de que o sistema imune influencia a evolução das bactérias do intestino. O intestino é um ambiente altamente complexo, tendo as bactérias aí residentes de se adaptar e evoluir para lidarem de forma eficiente com os diferentes estímulos, incluindo a dieta diversificada que ingerimos todos os dias. Isto origina cada vez mais diversidade de bactérias, que necessitam de ser controladas pelo nosso mecanismo de vigilância, o sistema imunitário, de modo a evitar doenças. Já se sabia que surgem patologias quando o sistema imunitário falha e há disrupção na comunidade de bactérias do intestino. Mas uma ligação direta ou indireta entre o sistema imunitário e a evolução de bactérias ainda não tinha sido provada.</w:t>
      </w:r>
    </w:p>
    <w:p w:rsidR="00506B27" w:rsidRPr="00506B27" w:rsidRDefault="00A85A8F" w:rsidP="00A85A8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A equipa de cientistas do IGC investigou como é que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a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="00506B27" w:rsidRPr="00506B2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Escherichia</w:t>
      </w:r>
      <w:proofErr w:type="spellEnd"/>
      <w:r w:rsidR="00506B27" w:rsidRPr="00506B2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="00506B27" w:rsidRPr="00506B2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coli</w:t>
      </w:r>
      <w:proofErr w:type="spellEnd"/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(</w:t>
      </w:r>
      <w:r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E. </w:t>
      </w:r>
      <w:proofErr w:type="spellStart"/>
      <w:r w:rsidR="00506B27" w:rsidRPr="00506B2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coli</w:t>
      </w:r>
      <w:proofErr w:type="spellEnd"/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), uma das primeiras bactérias a colonizar o intestino depois do nascimento, evolui em ratos saudáveis e em ratos que não possuem linfócitos,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os glóbulos branc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os do sistema imune. Enquanto em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animais saudáveis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 são observadas rápidas adaptações metabólicas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à die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ta, as mudanças são mais lentas em ratos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imunologicamente comprometidos, onde o sistema i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mune não funciona corretamente.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Os investigadores observaram ainda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 que o mesmo tipo de adaptações benéficas ocorria em todos os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ratos saudáveis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 que foram estudados. No entanto, nos animais que não possuem linfócitos, foram observadas grandes variações entre indivíduos, tornando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difíci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l prever ocurso de evolução das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bactér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ias naqueles animais. João Batista, estudante de doutoramento e primeiro autor do estudo, explica: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"Nós observámos que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 esta característica se deve a mudanças na composição da comunidade de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bac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térias no intestino, que é mais semelhante em indivíduos com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um s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istema imune saudável e bastante mais diversificada em animais com um sistema imune comprometido. </w:t>
      </w:r>
      <w:r w:rsidR="00506B27" w:rsidRPr="00506B27">
        <w:rPr>
          <w:rFonts w:eastAsia="Times New Roman" w:cs="Arial"/>
          <w:color w:val="222222"/>
          <w:sz w:val="24"/>
          <w:szCs w:val="24"/>
          <w:lang w:eastAsia="pt-PT"/>
        </w:rPr>
        <w:t>"</w:t>
      </w:r>
    </w:p>
    <w:p w:rsidR="00506B27" w:rsidRPr="00506B27" w:rsidRDefault="00506B27" w:rsidP="00ED6D25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“Foi possível desenvolver este trabalho de investigação porque no IGC há um espírito de cooperação que junta grupos de investigação de diferentes áreas de</w:t>
      </w:r>
      <w:r w:rsidR="00ED6D25">
        <w:rPr>
          <w:rFonts w:eastAsia="Times New Roman" w:cs="Arial"/>
          <w:color w:val="222222"/>
          <w:sz w:val="24"/>
          <w:szCs w:val="24"/>
          <w:lang w:eastAsia="pt-PT"/>
        </w:rPr>
        <w:t xml:space="preserve"> ação. Assim, integrámos </w:t>
      </w: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os nossos conhecimentos sobre evolução e imunologia para estudar as comple</w:t>
      </w:r>
      <w:r w:rsidR="00ED6D25">
        <w:rPr>
          <w:rFonts w:eastAsia="Times New Roman" w:cs="Arial"/>
          <w:color w:val="222222"/>
          <w:sz w:val="24"/>
          <w:szCs w:val="24"/>
          <w:lang w:eastAsia="pt-PT"/>
        </w:rPr>
        <w:t xml:space="preserve">xas interações existentes entre </w:t>
      </w: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o sistema</w:t>
      </w:r>
      <w:r w:rsidR="00ED6D25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imun</w:t>
      </w:r>
      <w:r w:rsidR="00ED6D25">
        <w:rPr>
          <w:rFonts w:eastAsia="Times New Roman" w:cs="Arial"/>
          <w:color w:val="222222"/>
          <w:sz w:val="24"/>
          <w:szCs w:val="24"/>
          <w:lang w:eastAsia="pt-PT"/>
        </w:rPr>
        <w:t xml:space="preserve">e dos vertebrados, composto por inúmeras células diferentes, e a </w:t>
      </w:r>
      <w:proofErr w:type="spellStart"/>
      <w:r w:rsidR="00ED6D25">
        <w:rPr>
          <w:rFonts w:eastAsia="Times New Roman" w:cs="Arial"/>
          <w:color w:val="222222"/>
          <w:sz w:val="24"/>
          <w:szCs w:val="24"/>
          <w:lang w:eastAsia="pt-PT"/>
        </w:rPr>
        <w:t>microbiota</w:t>
      </w:r>
      <w:proofErr w:type="spellEnd"/>
      <w:r w:rsidR="00ED6D25">
        <w:rPr>
          <w:rFonts w:eastAsia="Times New Roman" w:cs="Arial"/>
          <w:color w:val="222222"/>
          <w:sz w:val="24"/>
          <w:szCs w:val="24"/>
          <w:lang w:eastAsia="pt-PT"/>
        </w:rPr>
        <w:t xml:space="preserve"> intestinal, também </w:t>
      </w: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 xml:space="preserve">composta </w:t>
      </w:r>
      <w:r w:rsidR="00ED6D25">
        <w:rPr>
          <w:rFonts w:eastAsia="Times New Roman" w:cs="Arial"/>
          <w:color w:val="222222"/>
          <w:sz w:val="24"/>
          <w:szCs w:val="24"/>
          <w:lang w:eastAsia="pt-PT"/>
        </w:rPr>
        <w:t xml:space="preserve">por </w:t>
      </w: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inúm</w:t>
      </w:r>
      <w:r w:rsidR="00ED6D25">
        <w:rPr>
          <w:rFonts w:eastAsia="Times New Roman" w:cs="Arial"/>
          <w:color w:val="222222"/>
          <w:sz w:val="24"/>
          <w:szCs w:val="24"/>
          <w:lang w:eastAsia="pt-PT"/>
        </w:rPr>
        <w:t xml:space="preserve">eras </w:t>
      </w:r>
      <w:r w:rsidRPr="00506B27">
        <w:rPr>
          <w:rFonts w:eastAsia="Times New Roman" w:cs="Arial"/>
          <w:color w:val="222222"/>
          <w:sz w:val="24"/>
          <w:szCs w:val="24"/>
          <w:lang w:eastAsia="pt-PT"/>
        </w:rPr>
        <w:lastRenderedPageBreak/>
        <w:t>bactérias diferentes.</w:t>
      </w:r>
      <w:r w:rsidR="00ED6D25">
        <w:rPr>
          <w:rFonts w:eastAsia="Times New Roman" w:cs="Arial"/>
          <w:color w:val="222222"/>
          <w:sz w:val="24"/>
          <w:szCs w:val="24"/>
          <w:lang w:eastAsia="pt-PT"/>
        </w:rPr>
        <w:t xml:space="preserve"> Aprendemos que o sistema imune funciona como um normalizador da composição </w:t>
      </w: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 xml:space="preserve">de bactérias do intestino", comenta </w:t>
      </w:r>
      <w:proofErr w:type="spellStart"/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Jocelyne</w:t>
      </w:r>
      <w:proofErr w:type="spellEnd"/>
      <w:r w:rsidRPr="00506B27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Demengeot</w:t>
      </w:r>
      <w:proofErr w:type="spellEnd"/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.</w:t>
      </w:r>
    </w:p>
    <w:p w:rsidR="00506B27" w:rsidRPr="00506B27" w:rsidRDefault="00506B27" w:rsidP="00ED6D25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Isabel Gordo acrescenta: "O nosso trabalho mostra que é possível prever a evolução das bactérias comensais em organismos saudáveis, mas o mesmo não acontece em organismos com problemas no seu sistema imune. Assim, o uso de terapias generalistas para tratar pessoas que sofrem de patologias intestinais resultantes de um sistema imunitário deficiente, como é o caso da doença inflamatória do intestino, pode não ser a melhor abordagem. Em vez disso, devem ser consideradas terapias baseadas em medicina personalizada, que tenham em conta a composição de bactérias do intestino de cada pessoa."</w:t>
      </w:r>
    </w:p>
    <w:p w:rsidR="00506B27" w:rsidRPr="00506B27" w:rsidRDefault="00506B27" w:rsidP="00ED6D25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Recentemente,</w:t>
      </w:r>
      <w:r w:rsidR="00ED6D25">
        <w:rPr>
          <w:rFonts w:eastAsia="Times New Roman" w:cs="Arial"/>
          <w:color w:val="222222"/>
          <w:sz w:val="24"/>
          <w:szCs w:val="24"/>
          <w:lang w:eastAsia="pt-PT"/>
        </w:rPr>
        <w:t xml:space="preserve"> o trabalho desenvolvido por esta equipa que antecedeu este estudo foi distinguido com o </w:t>
      </w: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Prémio</w:t>
      </w:r>
      <w:r w:rsidR="00ED6D25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 w:rsidRPr="00506B2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PLOS </w:t>
      </w:r>
      <w:proofErr w:type="spellStart"/>
      <w:r w:rsidRPr="00506B2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Genetics</w:t>
      </w:r>
      <w:proofErr w:type="spellEnd"/>
      <w:r w:rsidRPr="00506B2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Research </w:t>
      </w:r>
      <w:proofErr w:type="spellStart"/>
      <w:r w:rsidRPr="00506B2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Award</w:t>
      </w:r>
      <w:proofErr w:type="spellEnd"/>
      <w:r w:rsidRPr="00506B2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2015</w:t>
      </w: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.</w:t>
      </w:r>
      <w:r w:rsidR="00ED6D25">
        <w:rPr>
          <w:rFonts w:eastAsia="Times New Roman" w:cs="Arial"/>
          <w:color w:val="222222"/>
          <w:sz w:val="24"/>
          <w:szCs w:val="24"/>
          <w:lang w:eastAsia="pt-PT"/>
        </w:rPr>
        <w:t xml:space="preserve"> Este estudo foi financiado pelo Conselho de Investigação Europeu e pela Fundação para </w:t>
      </w:r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a Ciência e a Tecnologia.</w:t>
      </w:r>
    </w:p>
    <w:p w:rsidR="00506B27" w:rsidRPr="00506B27" w:rsidRDefault="00506B27" w:rsidP="00506B27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A85A8F" w:rsidRDefault="00A85A8F" w:rsidP="00506B27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>
        <w:rPr>
          <w:rFonts w:eastAsia="Times New Roman" w:cs="Arial"/>
          <w:color w:val="222222"/>
          <w:sz w:val="24"/>
          <w:szCs w:val="24"/>
          <w:lang w:eastAsia="pt-PT"/>
        </w:rPr>
        <w:t>Referência do artigo</w:t>
      </w:r>
    </w:p>
    <w:p w:rsidR="00506B27" w:rsidRPr="00506B27" w:rsidRDefault="00506B27" w:rsidP="00506B27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proofErr w:type="spellStart"/>
      <w:r w:rsidRPr="00506B27">
        <w:rPr>
          <w:rFonts w:eastAsia="Times New Roman" w:cs="Arial"/>
          <w:color w:val="222222"/>
          <w:sz w:val="24"/>
          <w:szCs w:val="24"/>
          <w:lang w:val="en-US" w:eastAsia="pt-PT"/>
        </w:rPr>
        <w:t>Barroso</w:t>
      </w:r>
      <w:proofErr w:type="spellEnd"/>
      <w:r w:rsidRPr="00506B27"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-Batista, J., </w:t>
      </w:r>
      <w:proofErr w:type="spellStart"/>
      <w:r w:rsidRPr="00506B27">
        <w:rPr>
          <w:rFonts w:eastAsia="Times New Roman" w:cs="Arial"/>
          <w:color w:val="222222"/>
          <w:sz w:val="24"/>
          <w:szCs w:val="24"/>
          <w:lang w:val="en-US" w:eastAsia="pt-PT"/>
        </w:rPr>
        <w:t>Demengeot</w:t>
      </w:r>
      <w:proofErr w:type="spellEnd"/>
      <w:r w:rsidRPr="00506B27"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, J., and Gordo, I. (2015) Adaptive immunity increases the pace and predictability of evolutionary change in </w:t>
      </w:r>
      <w:proofErr w:type="spellStart"/>
      <w:r w:rsidRPr="00506B27">
        <w:rPr>
          <w:rFonts w:eastAsia="Times New Roman" w:cs="Arial"/>
          <w:color w:val="222222"/>
          <w:sz w:val="24"/>
          <w:szCs w:val="24"/>
          <w:lang w:val="en-US" w:eastAsia="pt-PT"/>
        </w:rPr>
        <w:t>commensal</w:t>
      </w:r>
      <w:proofErr w:type="spellEnd"/>
      <w:r w:rsidRPr="00506B27"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 gut bacteria. </w:t>
      </w:r>
      <w:proofErr w:type="spellStart"/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Nature</w:t>
      </w:r>
      <w:proofErr w:type="spellEnd"/>
      <w:r w:rsidRPr="00506B27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Communications</w:t>
      </w:r>
      <w:proofErr w:type="spellEnd"/>
      <w:r w:rsidRPr="00506B27">
        <w:rPr>
          <w:rFonts w:eastAsia="Times New Roman" w:cs="Arial"/>
          <w:color w:val="222222"/>
          <w:sz w:val="24"/>
          <w:szCs w:val="24"/>
          <w:lang w:eastAsia="pt-PT"/>
        </w:rPr>
        <w:t>. DOI: 10.1038/ncomms9945</w:t>
      </w:r>
    </w:p>
    <w:p w:rsidR="00506B27" w:rsidRPr="00506B27" w:rsidRDefault="00A85A8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Link</w:t>
      </w:r>
      <w:proofErr w:type="gramEnd"/>
      <w:r>
        <w:rPr>
          <w:sz w:val="24"/>
          <w:szCs w:val="24"/>
        </w:rPr>
        <w:t xml:space="preserve"> para o artigo: </w:t>
      </w:r>
      <w:r w:rsidRPr="00A85A8F">
        <w:rPr>
          <w:sz w:val="24"/>
          <w:szCs w:val="24"/>
        </w:rPr>
        <w:t>http://www.nature.com/ncomms/2015/151130/ncomms9945/full/ncomms9945.html</w:t>
      </w:r>
    </w:p>
    <w:p w:rsidR="00506B27" w:rsidRPr="00506B27" w:rsidRDefault="00506B27">
      <w:pPr>
        <w:rPr>
          <w:sz w:val="24"/>
          <w:szCs w:val="24"/>
        </w:rPr>
      </w:pPr>
      <w:r w:rsidRPr="00506B27">
        <w:rPr>
          <w:sz w:val="24"/>
          <w:szCs w:val="24"/>
        </w:rPr>
        <w:t>Ana Mena (IGC)</w:t>
      </w:r>
    </w:p>
    <w:p w:rsidR="00506B27" w:rsidRPr="00506B27" w:rsidRDefault="00506B27">
      <w:pPr>
        <w:rPr>
          <w:sz w:val="24"/>
          <w:szCs w:val="24"/>
        </w:rPr>
      </w:pPr>
      <w:r w:rsidRPr="00506B27">
        <w:rPr>
          <w:sz w:val="24"/>
          <w:szCs w:val="24"/>
        </w:rPr>
        <w:t>Ciência na Imprensa Regional – Ciência Viva</w:t>
      </w:r>
    </w:p>
    <w:sectPr w:rsidR="00506B27" w:rsidRPr="00506B27" w:rsidSect="00E25D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571D7"/>
    <w:rsid w:val="002B07DE"/>
    <w:rsid w:val="00362D13"/>
    <w:rsid w:val="00450BF1"/>
    <w:rsid w:val="00506B27"/>
    <w:rsid w:val="007209C5"/>
    <w:rsid w:val="00943EA8"/>
    <w:rsid w:val="00A85A8F"/>
    <w:rsid w:val="00E25DA3"/>
    <w:rsid w:val="00E571D7"/>
    <w:rsid w:val="00ED6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DA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E571D7"/>
  </w:style>
  <w:style w:type="character" w:styleId="Hiperligao">
    <w:name w:val="Hyperlink"/>
    <w:basedOn w:val="Tipodeletrapredefinidodopargrafo"/>
    <w:uiPriority w:val="99"/>
    <w:semiHidden/>
    <w:unhideWhenUsed/>
    <w:rsid w:val="00506B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9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741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2015-12-04T16:02:00Z</dcterms:created>
  <dcterms:modified xsi:type="dcterms:W3CDTF">2015-12-04T16:28:00Z</dcterms:modified>
</cp:coreProperties>
</file>